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F091" w14:textId="7FC6899F" w:rsidR="005E0AA5" w:rsidRDefault="005E0AA5" w:rsidP="005E0AA5">
      <w:pPr>
        <w:pStyle w:val="GvdeMetni2"/>
        <w:spacing w:after="120" w:line="360" w:lineRule="auto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Dicle Şener Okur </w:t>
      </w:r>
      <w:proofErr w:type="spellStart"/>
      <w:r>
        <w:rPr>
          <w:rFonts w:ascii="Arial" w:hAnsi="Arial" w:cs="Arial"/>
          <w:bCs w:val="0"/>
          <w:szCs w:val="24"/>
        </w:rPr>
        <w:t>Akademik</w:t>
      </w:r>
      <w:proofErr w:type="spellEnd"/>
      <w:r>
        <w:rPr>
          <w:rFonts w:ascii="Arial" w:hAnsi="Arial" w:cs="Arial"/>
          <w:bCs w:val="0"/>
          <w:szCs w:val="24"/>
        </w:rPr>
        <w:t xml:space="preserve"> </w:t>
      </w:r>
      <w:proofErr w:type="spellStart"/>
      <w:r>
        <w:rPr>
          <w:rFonts w:ascii="Arial" w:hAnsi="Arial" w:cs="Arial"/>
          <w:bCs w:val="0"/>
          <w:szCs w:val="24"/>
        </w:rPr>
        <w:t>Özgeçmiş</w:t>
      </w:r>
      <w:proofErr w:type="spellEnd"/>
    </w:p>
    <w:p w14:paraId="73F42AF1" w14:textId="6D482F8E" w:rsidR="005E0AA5" w:rsidRPr="005E0AA5" w:rsidRDefault="005E0AA5" w:rsidP="005E0AA5">
      <w:pPr>
        <w:rPr>
          <w:rFonts w:ascii="Arial" w:hAnsi="Arial" w:cs="Arial"/>
          <w:sz w:val="24"/>
          <w:szCs w:val="24"/>
        </w:rPr>
      </w:pPr>
      <w:r w:rsidRPr="005E0AA5">
        <w:rPr>
          <w:rFonts w:ascii="Arial" w:hAnsi="Arial" w:cs="Arial"/>
          <w:sz w:val="24"/>
          <w:szCs w:val="24"/>
        </w:rPr>
        <w:t xml:space="preserve">Eğitim Bilgileri </w:t>
      </w:r>
    </w:p>
    <w:p w14:paraId="7920496C" w14:textId="77777777" w:rsidR="005E0AA5" w:rsidRDefault="005E0AA5" w:rsidP="005E0AA5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2700"/>
        <w:gridCol w:w="3600"/>
      </w:tblGrid>
      <w:tr w:rsidR="005E0AA5" w14:paraId="1FB79C23" w14:textId="77777777" w:rsidTr="005E0AA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A766" w14:textId="77777777" w:rsidR="005E0AA5" w:rsidRDefault="005E0AA5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YILI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D4F0" w14:textId="77777777" w:rsidR="005E0AA5" w:rsidRDefault="005E0AA5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DERECESİ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CFB6" w14:textId="77777777" w:rsidR="005E0AA5" w:rsidRDefault="005E0AA5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ÜNİVERSİTE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2866" w14:textId="77777777" w:rsidR="005E0AA5" w:rsidRDefault="005E0AA5">
            <w:pPr>
              <w:spacing w:before="100" w:after="100"/>
              <w:ind w:right="8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ÖĞRENİM ALANI</w:t>
            </w:r>
          </w:p>
        </w:tc>
      </w:tr>
      <w:tr w:rsidR="005E0AA5" w14:paraId="31DCBA63" w14:textId="77777777" w:rsidTr="005E0AA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E57" w14:textId="77777777" w:rsidR="005E0AA5" w:rsidRDefault="005E0AA5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4F36" w14:textId="77777777" w:rsidR="005E0AA5" w:rsidRDefault="005E0AA5">
            <w:pPr>
              <w:spacing w:before="100" w:after="10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C220" w14:textId="77777777" w:rsidR="005E0AA5" w:rsidRDefault="005E0AA5">
            <w:pPr>
              <w:spacing w:before="100" w:after="10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 Üniversitesi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3B0A" w14:textId="77777777" w:rsidR="005E0AA5" w:rsidRDefault="005E0AA5">
            <w:pPr>
              <w:spacing w:before="100" w:after="100"/>
              <w:ind w:right="84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Tıp Fakültesi</w:t>
            </w:r>
          </w:p>
        </w:tc>
      </w:tr>
      <w:tr w:rsidR="005E0AA5" w14:paraId="6868905F" w14:textId="77777777" w:rsidTr="005E0AA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33F0" w14:textId="77777777" w:rsidR="005E0AA5" w:rsidRDefault="005E0AA5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856E" w14:textId="77777777" w:rsidR="005E0AA5" w:rsidRDefault="005E0AA5">
            <w:pPr>
              <w:spacing w:before="100" w:after="1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Tıpta Uzmanlık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C7EB" w14:textId="77777777" w:rsidR="005E0AA5" w:rsidRDefault="005E0AA5">
            <w:pPr>
              <w:spacing w:before="100" w:after="1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İstanbul Üniversitesi İstanbul Tıp Fakültesi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5F0E" w14:textId="77777777" w:rsidR="005E0AA5" w:rsidRDefault="005E0AA5">
            <w:pPr>
              <w:spacing w:before="100" w:after="100"/>
              <w:ind w:right="84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Sağlığı ve Hastalıkları</w:t>
            </w:r>
          </w:p>
        </w:tc>
      </w:tr>
      <w:tr w:rsidR="005E0AA5" w14:paraId="65C36F63" w14:textId="77777777" w:rsidTr="005E0AA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891F" w14:textId="77777777" w:rsidR="005E0AA5" w:rsidRDefault="005E0AA5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205D" w14:textId="77777777" w:rsidR="005E0AA5" w:rsidRDefault="005E0AA5">
            <w:pPr>
              <w:spacing w:before="100" w:after="1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Yandal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Uzmanlık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48CE" w14:textId="77777777" w:rsidR="005E0AA5" w:rsidRDefault="005E0AA5">
            <w:pPr>
              <w:spacing w:before="100" w:after="1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İstanbul Üniversitesi Cerrahpaşa Tıp Fakültesi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970" w14:textId="77777777" w:rsidR="005E0AA5" w:rsidRDefault="005E0AA5">
            <w:pPr>
              <w:spacing w:before="100" w:after="100"/>
              <w:ind w:right="84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Enfeksiyon Hastalıkları</w:t>
            </w:r>
          </w:p>
        </w:tc>
      </w:tr>
    </w:tbl>
    <w:p w14:paraId="159512FE" w14:textId="77777777" w:rsidR="005E0AA5" w:rsidRDefault="005E0AA5" w:rsidP="005E0AA5">
      <w:pPr>
        <w:rPr>
          <w:rFonts w:ascii="Arial" w:hAnsi="Arial" w:cs="Arial"/>
          <w:sz w:val="24"/>
          <w:szCs w:val="24"/>
        </w:rPr>
      </w:pPr>
    </w:p>
    <w:p w14:paraId="585F0855" w14:textId="1E8DE52C" w:rsidR="005E0AA5" w:rsidRPr="005E0AA5" w:rsidRDefault="005E0AA5" w:rsidP="005E0AA5">
      <w:pPr>
        <w:pStyle w:val="GvdeMetni2"/>
        <w:spacing w:after="120"/>
        <w:ind w:firstLine="360"/>
        <w:jc w:val="left"/>
        <w:rPr>
          <w:rFonts w:ascii="Arial" w:hAnsi="Arial" w:cs="Arial"/>
          <w:b w:val="0"/>
          <w:bCs w:val="0"/>
          <w:szCs w:val="24"/>
          <w:lang w:val="tr-TR"/>
        </w:rPr>
      </w:pPr>
      <w:r w:rsidRPr="005E0AA5">
        <w:rPr>
          <w:rFonts w:ascii="Arial" w:hAnsi="Arial" w:cs="Arial"/>
          <w:b w:val="0"/>
          <w:bCs w:val="0"/>
          <w:szCs w:val="24"/>
          <w:lang w:val="tr-TR"/>
        </w:rPr>
        <w:t xml:space="preserve">Akademik/İdari Deneyim: </w:t>
      </w:r>
      <w:r>
        <w:rPr>
          <w:rFonts w:ascii="Arial" w:hAnsi="Arial" w:cs="Arial"/>
          <w:b w:val="0"/>
          <w:bCs w:val="0"/>
          <w:szCs w:val="24"/>
          <w:lang w:val="tr-TR"/>
        </w:rPr>
        <w:t>Yok</w:t>
      </w:r>
    </w:p>
    <w:p w14:paraId="13064E94" w14:textId="1C5176EF" w:rsidR="005E0AA5" w:rsidRPr="005E0AA5" w:rsidRDefault="005E0AA5" w:rsidP="005E0AA5">
      <w:pPr>
        <w:pStyle w:val="GvdeMetni2"/>
        <w:spacing w:after="120"/>
        <w:ind w:firstLine="360"/>
        <w:jc w:val="left"/>
        <w:rPr>
          <w:rFonts w:ascii="Arial" w:hAnsi="Arial" w:cs="Arial"/>
          <w:b w:val="0"/>
          <w:bCs w:val="0"/>
          <w:szCs w:val="24"/>
          <w:lang w:val="tr-TR"/>
        </w:rPr>
      </w:pPr>
      <w:r w:rsidRPr="005E0AA5">
        <w:rPr>
          <w:rFonts w:ascii="Arial" w:hAnsi="Arial" w:cs="Arial"/>
          <w:b w:val="0"/>
          <w:bCs w:val="0"/>
          <w:szCs w:val="24"/>
          <w:lang w:val="tr-TR"/>
        </w:rPr>
        <w:t xml:space="preserve">Araştırma/İlgi </w:t>
      </w:r>
      <w:proofErr w:type="spellStart"/>
      <w:proofErr w:type="gramStart"/>
      <w:r w:rsidRPr="005E0AA5">
        <w:rPr>
          <w:rFonts w:ascii="Arial" w:hAnsi="Arial" w:cs="Arial"/>
          <w:b w:val="0"/>
          <w:bCs w:val="0"/>
          <w:szCs w:val="24"/>
          <w:lang w:val="tr-TR"/>
        </w:rPr>
        <w:t>Alanları,Yayınları</w:t>
      </w:r>
      <w:proofErr w:type="spellEnd"/>
      <w:proofErr w:type="gramEnd"/>
      <w:r w:rsidRPr="005E0AA5">
        <w:rPr>
          <w:rFonts w:ascii="Arial" w:hAnsi="Arial" w:cs="Arial"/>
          <w:b w:val="0"/>
          <w:bCs w:val="0"/>
          <w:szCs w:val="24"/>
          <w:lang w:val="tr-TR"/>
        </w:rPr>
        <w:t>/Eserler:</w:t>
      </w:r>
    </w:p>
    <w:p w14:paraId="74012EFF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  <w:lang w:val="tr-TR"/>
        </w:rPr>
      </w:pPr>
      <w:r>
        <w:rPr>
          <w:rFonts w:ascii="Arial" w:hAnsi="Arial" w:cs="Arial"/>
          <w:b w:val="0"/>
          <w:szCs w:val="24"/>
          <w:lang w:val="tr-TR"/>
        </w:rPr>
        <w:t xml:space="preserve">1. </w:t>
      </w:r>
      <w:proofErr w:type="spellStart"/>
      <w:r>
        <w:rPr>
          <w:rFonts w:ascii="Arial" w:hAnsi="Arial" w:cs="Arial"/>
          <w:b w:val="0"/>
          <w:szCs w:val="24"/>
          <w:lang w:val="tr-TR"/>
        </w:rPr>
        <w:t>Genotypic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characterization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of </w:t>
      </w:r>
      <w:proofErr w:type="spellStart"/>
      <w:r>
        <w:rPr>
          <w:rFonts w:ascii="Arial" w:hAnsi="Arial" w:cs="Arial"/>
          <w:b w:val="0"/>
          <w:szCs w:val="24"/>
          <w:lang w:val="tr-TR"/>
        </w:rPr>
        <w:t>Pseudomonas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aeruginosa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isolates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from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Turkish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children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with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cystic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fibrosis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. </w:t>
      </w:r>
      <w:proofErr w:type="spellStart"/>
      <w:r>
        <w:rPr>
          <w:rFonts w:ascii="Arial" w:hAnsi="Arial" w:cs="Arial"/>
          <w:b w:val="0"/>
          <w:szCs w:val="24"/>
          <w:lang w:val="tr-TR"/>
        </w:rPr>
        <w:t>Sener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Okur D, </w:t>
      </w:r>
      <w:proofErr w:type="spellStart"/>
      <w:r>
        <w:rPr>
          <w:rFonts w:ascii="Arial" w:hAnsi="Arial" w:cs="Arial"/>
          <w:b w:val="0"/>
          <w:szCs w:val="24"/>
          <w:lang w:val="tr-TR"/>
        </w:rPr>
        <w:t>Yuruyen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C, </w:t>
      </w:r>
      <w:proofErr w:type="spellStart"/>
      <w:r>
        <w:rPr>
          <w:rFonts w:ascii="Arial" w:hAnsi="Arial" w:cs="Arial"/>
          <w:b w:val="0"/>
          <w:szCs w:val="24"/>
          <w:lang w:val="tr-TR"/>
        </w:rPr>
        <w:t>Gungor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O, </w:t>
      </w:r>
      <w:proofErr w:type="spellStart"/>
      <w:r>
        <w:rPr>
          <w:rFonts w:ascii="Arial" w:hAnsi="Arial" w:cs="Arial"/>
          <w:b w:val="0"/>
          <w:szCs w:val="24"/>
          <w:lang w:val="tr-TR"/>
        </w:rPr>
        <w:t>Aktas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Z, </w:t>
      </w:r>
      <w:proofErr w:type="spellStart"/>
      <w:r>
        <w:rPr>
          <w:rFonts w:ascii="Arial" w:hAnsi="Arial" w:cs="Arial"/>
          <w:b w:val="0"/>
          <w:szCs w:val="24"/>
          <w:lang w:val="tr-TR"/>
        </w:rPr>
        <w:t>Erturan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Z, </w:t>
      </w:r>
      <w:proofErr w:type="spellStart"/>
      <w:r>
        <w:rPr>
          <w:rFonts w:ascii="Arial" w:hAnsi="Arial" w:cs="Arial"/>
          <w:b w:val="0"/>
          <w:szCs w:val="24"/>
          <w:lang w:val="tr-TR"/>
        </w:rPr>
        <w:t>Akcakaya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N, </w:t>
      </w:r>
      <w:proofErr w:type="spellStart"/>
      <w:r>
        <w:rPr>
          <w:rFonts w:ascii="Arial" w:hAnsi="Arial" w:cs="Arial"/>
          <w:b w:val="0"/>
          <w:szCs w:val="24"/>
          <w:lang w:val="tr-TR"/>
        </w:rPr>
        <w:t>Camcioglu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Y, </w:t>
      </w:r>
      <w:proofErr w:type="spellStart"/>
      <w:r>
        <w:rPr>
          <w:rFonts w:ascii="Arial" w:hAnsi="Arial" w:cs="Arial"/>
          <w:b w:val="0"/>
          <w:szCs w:val="24"/>
          <w:lang w:val="tr-TR"/>
        </w:rPr>
        <w:t>Cokugras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H, </w:t>
      </w:r>
      <w:proofErr w:type="spellStart"/>
      <w:r>
        <w:rPr>
          <w:rFonts w:ascii="Arial" w:hAnsi="Arial" w:cs="Arial"/>
          <w:b w:val="0"/>
          <w:szCs w:val="24"/>
          <w:lang w:val="tr-TR"/>
        </w:rPr>
        <w:t>Koksalan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K. </w:t>
      </w:r>
      <w:proofErr w:type="spellStart"/>
      <w:r>
        <w:rPr>
          <w:rFonts w:ascii="Arial" w:hAnsi="Arial" w:cs="Arial"/>
          <w:b w:val="0"/>
          <w:szCs w:val="24"/>
          <w:lang w:val="tr-TR"/>
        </w:rPr>
        <w:t>Infect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Drug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Resist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(2019); Mar 27(12):675-685</w:t>
      </w:r>
    </w:p>
    <w:p w14:paraId="6C74E56B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  <w:lang w:val="tr-TR"/>
        </w:rPr>
      </w:pPr>
      <w:r>
        <w:rPr>
          <w:rFonts w:ascii="Arial" w:hAnsi="Arial" w:cs="Arial"/>
          <w:b w:val="0"/>
          <w:szCs w:val="24"/>
          <w:lang w:val="tr-TR"/>
        </w:rPr>
        <w:t xml:space="preserve">2. </w:t>
      </w:r>
      <w:proofErr w:type="spellStart"/>
      <w:r>
        <w:rPr>
          <w:rFonts w:ascii="Arial" w:hAnsi="Arial" w:cs="Arial"/>
          <w:b w:val="0"/>
          <w:szCs w:val="24"/>
          <w:lang w:val="tr-TR"/>
        </w:rPr>
        <w:t>Factors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Affecting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Doctors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' </w:t>
      </w:r>
      <w:proofErr w:type="spellStart"/>
      <w:r>
        <w:rPr>
          <w:rFonts w:ascii="Arial" w:hAnsi="Arial" w:cs="Arial"/>
          <w:b w:val="0"/>
          <w:szCs w:val="24"/>
          <w:lang w:val="tr-TR"/>
        </w:rPr>
        <w:t>Perceptions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of </w:t>
      </w:r>
      <w:proofErr w:type="spellStart"/>
      <w:r>
        <w:rPr>
          <w:rFonts w:ascii="Arial" w:hAnsi="Arial" w:cs="Arial"/>
          <w:b w:val="0"/>
          <w:szCs w:val="24"/>
          <w:lang w:val="tr-TR"/>
        </w:rPr>
        <w:t>the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Cs w:val="24"/>
          <w:lang w:val="tr-TR"/>
        </w:rPr>
        <w:t>Overuse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of </w:t>
      </w:r>
      <w:proofErr w:type="spellStart"/>
      <w:r>
        <w:rPr>
          <w:rFonts w:ascii="Arial" w:hAnsi="Arial" w:cs="Arial"/>
          <w:b w:val="0"/>
          <w:szCs w:val="24"/>
          <w:lang w:val="tr-TR"/>
        </w:rPr>
        <w:t>Antibiotics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. </w:t>
      </w:r>
      <w:proofErr w:type="spellStart"/>
      <w:r>
        <w:rPr>
          <w:rFonts w:ascii="Arial" w:hAnsi="Arial" w:cs="Arial"/>
          <w:b w:val="0"/>
          <w:szCs w:val="24"/>
          <w:lang w:val="tr-TR"/>
        </w:rPr>
        <w:t>Camcioglu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Y, </w:t>
      </w:r>
      <w:proofErr w:type="spellStart"/>
      <w:r>
        <w:rPr>
          <w:rFonts w:ascii="Arial" w:hAnsi="Arial" w:cs="Arial"/>
          <w:b w:val="0"/>
          <w:szCs w:val="24"/>
          <w:lang w:val="tr-TR"/>
        </w:rPr>
        <w:t>Sener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Okur D, Aksaray N, Darendeliler F, </w:t>
      </w:r>
      <w:proofErr w:type="spellStart"/>
      <w:r>
        <w:rPr>
          <w:rFonts w:ascii="Arial" w:hAnsi="Arial" w:cs="Arial"/>
          <w:b w:val="0"/>
          <w:szCs w:val="24"/>
          <w:lang w:val="tr-TR"/>
        </w:rPr>
        <w:t>Hasanoglu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E. </w:t>
      </w:r>
      <w:proofErr w:type="spellStart"/>
      <w:r>
        <w:rPr>
          <w:rFonts w:ascii="Arial" w:hAnsi="Arial" w:cs="Arial"/>
          <w:b w:val="0"/>
          <w:szCs w:val="24"/>
          <w:lang w:val="tr-TR"/>
        </w:rPr>
        <w:t>Med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Mal </w:t>
      </w:r>
      <w:proofErr w:type="spellStart"/>
      <w:r>
        <w:rPr>
          <w:rFonts w:ascii="Arial" w:hAnsi="Arial" w:cs="Arial"/>
          <w:b w:val="0"/>
          <w:szCs w:val="24"/>
          <w:lang w:val="tr-TR"/>
        </w:rPr>
        <w:t>Infect</w:t>
      </w:r>
      <w:proofErr w:type="spellEnd"/>
      <w:r>
        <w:rPr>
          <w:rFonts w:ascii="Arial" w:hAnsi="Arial" w:cs="Arial"/>
          <w:b w:val="0"/>
          <w:szCs w:val="24"/>
          <w:lang w:val="tr-TR"/>
        </w:rPr>
        <w:t xml:space="preserve"> (2019)</w:t>
      </w:r>
    </w:p>
    <w:p w14:paraId="5B923294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3. Epidemiologic and microbiologic evaluation of nosocomial infections associated with Candida </w:t>
      </w:r>
      <w:proofErr w:type="spellStart"/>
      <w:r>
        <w:rPr>
          <w:rFonts w:ascii="Arial" w:hAnsi="Arial" w:cs="Arial"/>
          <w:b w:val="0"/>
          <w:szCs w:val="24"/>
        </w:rPr>
        <w:t>spp</w:t>
      </w:r>
      <w:proofErr w:type="spellEnd"/>
      <w:r>
        <w:rPr>
          <w:rFonts w:ascii="Arial" w:hAnsi="Arial" w:cs="Arial"/>
          <w:b w:val="0"/>
          <w:szCs w:val="24"/>
        </w:rPr>
        <w:t xml:space="preserve"> in children: A multicenter study from Istanbul, Turkey. </w:t>
      </w:r>
      <w:proofErr w:type="spellStart"/>
      <w:r>
        <w:rPr>
          <w:rFonts w:ascii="Arial" w:hAnsi="Arial" w:cs="Arial"/>
          <w:b w:val="0"/>
          <w:szCs w:val="24"/>
        </w:rPr>
        <w:t>Sutcu</w:t>
      </w:r>
      <w:proofErr w:type="spellEnd"/>
      <w:r>
        <w:rPr>
          <w:rFonts w:ascii="Arial" w:hAnsi="Arial" w:cs="Arial"/>
          <w:b w:val="0"/>
          <w:szCs w:val="24"/>
        </w:rPr>
        <w:t xml:space="preserve"> M, Salman N, </w:t>
      </w:r>
      <w:proofErr w:type="spellStart"/>
      <w:r>
        <w:rPr>
          <w:rFonts w:ascii="Arial" w:hAnsi="Arial" w:cs="Arial"/>
          <w:b w:val="0"/>
          <w:szCs w:val="24"/>
        </w:rPr>
        <w:t>Akturk</w:t>
      </w:r>
      <w:proofErr w:type="spellEnd"/>
      <w:r>
        <w:rPr>
          <w:rFonts w:ascii="Arial" w:hAnsi="Arial" w:cs="Arial"/>
          <w:b w:val="0"/>
          <w:szCs w:val="24"/>
        </w:rPr>
        <w:t xml:space="preserve"> H, </w:t>
      </w:r>
      <w:proofErr w:type="spellStart"/>
      <w:r>
        <w:rPr>
          <w:rFonts w:ascii="Arial" w:hAnsi="Arial" w:cs="Arial"/>
          <w:b w:val="0"/>
          <w:szCs w:val="24"/>
        </w:rPr>
        <w:t>Dalgic</w:t>
      </w:r>
      <w:proofErr w:type="spellEnd"/>
      <w:r>
        <w:rPr>
          <w:rFonts w:ascii="Arial" w:hAnsi="Arial" w:cs="Arial"/>
          <w:b w:val="0"/>
          <w:szCs w:val="24"/>
        </w:rPr>
        <w:t xml:space="preserve"> N, </w:t>
      </w:r>
      <w:proofErr w:type="spellStart"/>
      <w:r>
        <w:rPr>
          <w:rFonts w:ascii="Arial" w:hAnsi="Arial" w:cs="Arial"/>
          <w:b w:val="0"/>
          <w:szCs w:val="24"/>
        </w:rPr>
        <w:t>Kuzdan</w:t>
      </w:r>
      <w:proofErr w:type="spellEnd"/>
      <w:r>
        <w:rPr>
          <w:rFonts w:ascii="Arial" w:hAnsi="Arial" w:cs="Arial"/>
          <w:b w:val="0"/>
          <w:szCs w:val="24"/>
        </w:rPr>
        <w:t xml:space="preserve"> C, </w:t>
      </w:r>
      <w:proofErr w:type="spellStart"/>
      <w:r>
        <w:rPr>
          <w:rFonts w:ascii="Arial" w:hAnsi="Arial" w:cs="Arial"/>
          <w:b w:val="0"/>
          <w:szCs w:val="24"/>
        </w:rPr>
        <w:t>Kadayifci</w:t>
      </w:r>
      <w:proofErr w:type="spellEnd"/>
      <w:r>
        <w:rPr>
          <w:rFonts w:ascii="Arial" w:hAnsi="Arial" w:cs="Arial"/>
          <w:b w:val="0"/>
          <w:szCs w:val="24"/>
        </w:rPr>
        <w:t xml:space="preserve"> EK,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 D, </w:t>
      </w:r>
      <w:proofErr w:type="spellStart"/>
      <w:r>
        <w:rPr>
          <w:rFonts w:ascii="Arial" w:hAnsi="Arial" w:cs="Arial"/>
          <w:b w:val="0"/>
          <w:szCs w:val="24"/>
        </w:rPr>
        <w:t>Karbuz</w:t>
      </w:r>
      <w:proofErr w:type="spellEnd"/>
      <w:r>
        <w:rPr>
          <w:rFonts w:ascii="Arial" w:hAnsi="Arial" w:cs="Arial"/>
          <w:b w:val="0"/>
          <w:szCs w:val="24"/>
        </w:rPr>
        <w:t xml:space="preserve"> A, </w:t>
      </w:r>
      <w:proofErr w:type="spellStart"/>
      <w:r>
        <w:rPr>
          <w:rFonts w:ascii="Arial" w:hAnsi="Arial" w:cs="Arial"/>
          <w:b w:val="0"/>
          <w:szCs w:val="24"/>
        </w:rPr>
        <w:t>Erturan</w:t>
      </w:r>
      <w:proofErr w:type="spellEnd"/>
      <w:r>
        <w:rPr>
          <w:rFonts w:ascii="Arial" w:hAnsi="Arial" w:cs="Arial"/>
          <w:b w:val="0"/>
          <w:szCs w:val="24"/>
        </w:rPr>
        <w:t xml:space="preserve"> Z, </w:t>
      </w:r>
      <w:proofErr w:type="spellStart"/>
      <w:r>
        <w:rPr>
          <w:rFonts w:ascii="Arial" w:hAnsi="Arial" w:cs="Arial"/>
          <w:b w:val="0"/>
          <w:szCs w:val="24"/>
        </w:rPr>
        <w:t>Somer</w:t>
      </w:r>
      <w:proofErr w:type="spellEnd"/>
      <w:r>
        <w:rPr>
          <w:rFonts w:ascii="Arial" w:hAnsi="Arial" w:cs="Arial"/>
          <w:b w:val="0"/>
          <w:szCs w:val="24"/>
        </w:rPr>
        <w:t xml:space="preserve"> A. Am J Infect Control (2016); 44 (10); 1139-1143</w:t>
      </w:r>
    </w:p>
    <w:p w14:paraId="12AB4996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4. </w:t>
      </w:r>
      <w:proofErr w:type="spellStart"/>
      <w:r>
        <w:rPr>
          <w:rFonts w:ascii="Arial" w:hAnsi="Arial" w:cs="Arial"/>
          <w:b w:val="0"/>
          <w:szCs w:val="24"/>
        </w:rPr>
        <w:t>Raoultella</w:t>
      </w:r>
      <w:proofErr w:type="spellEnd"/>
      <w:r>
        <w:rPr>
          <w:rFonts w:ascii="Arial" w:hAnsi="Arial" w:cs="Arial"/>
          <w:b w:val="0"/>
          <w:szCs w:val="24"/>
        </w:rPr>
        <w:t xml:space="preserve"> infection causing fever of unknown origin.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 D, </w:t>
      </w:r>
      <w:proofErr w:type="spellStart"/>
      <w:r>
        <w:rPr>
          <w:rFonts w:ascii="Arial" w:hAnsi="Arial" w:cs="Arial"/>
          <w:b w:val="0"/>
          <w:szCs w:val="24"/>
        </w:rPr>
        <w:t>Cokugras</w:t>
      </w:r>
      <w:proofErr w:type="spellEnd"/>
      <w:r>
        <w:rPr>
          <w:rFonts w:ascii="Arial" w:hAnsi="Arial" w:cs="Arial"/>
          <w:b w:val="0"/>
          <w:szCs w:val="24"/>
        </w:rPr>
        <w:t xml:space="preserve"> H, </w:t>
      </w:r>
      <w:proofErr w:type="spellStart"/>
      <w:r>
        <w:rPr>
          <w:rFonts w:ascii="Arial" w:hAnsi="Arial" w:cs="Arial"/>
          <w:b w:val="0"/>
          <w:szCs w:val="24"/>
        </w:rPr>
        <w:t>Camcioglu</w:t>
      </w:r>
      <w:proofErr w:type="spellEnd"/>
      <w:r>
        <w:rPr>
          <w:rFonts w:ascii="Arial" w:hAnsi="Arial" w:cs="Arial"/>
          <w:b w:val="0"/>
          <w:szCs w:val="24"/>
        </w:rPr>
        <w:t xml:space="preserve"> Y, </w:t>
      </w:r>
      <w:proofErr w:type="spellStart"/>
      <w:r>
        <w:rPr>
          <w:rFonts w:ascii="Arial" w:hAnsi="Arial" w:cs="Arial"/>
          <w:b w:val="0"/>
          <w:szCs w:val="24"/>
        </w:rPr>
        <w:t>Akcakaya</w:t>
      </w:r>
      <w:proofErr w:type="spellEnd"/>
      <w:r>
        <w:rPr>
          <w:rFonts w:ascii="Arial" w:hAnsi="Arial" w:cs="Arial"/>
          <w:b w:val="0"/>
          <w:szCs w:val="24"/>
        </w:rPr>
        <w:t xml:space="preserve"> N, </w:t>
      </w:r>
      <w:proofErr w:type="spellStart"/>
      <w:r>
        <w:rPr>
          <w:rFonts w:ascii="Arial" w:hAnsi="Arial" w:cs="Arial"/>
          <w:b w:val="0"/>
          <w:szCs w:val="24"/>
        </w:rPr>
        <w:t>Cakir</w:t>
      </w:r>
      <w:proofErr w:type="spellEnd"/>
      <w:r>
        <w:rPr>
          <w:rFonts w:ascii="Arial" w:hAnsi="Arial" w:cs="Arial"/>
          <w:b w:val="0"/>
          <w:szCs w:val="24"/>
        </w:rPr>
        <w:t xml:space="preserve"> E. </w:t>
      </w:r>
      <w:proofErr w:type="spellStart"/>
      <w:r>
        <w:rPr>
          <w:rFonts w:ascii="Arial" w:hAnsi="Arial" w:cs="Arial"/>
          <w:b w:val="0"/>
          <w:szCs w:val="24"/>
        </w:rPr>
        <w:t>Pediatr</w:t>
      </w:r>
      <w:proofErr w:type="spellEnd"/>
      <w:r>
        <w:rPr>
          <w:rFonts w:ascii="Arial" w:hAnsi="Arial" w:cs="Arial"/>
          <w:b w:val="0"/>
          <w:szCs w:val="24"/>
        </w:rPr>
        <w:t xml:space="preserve"> Infect Dis J (2011); 30 (12): 1122-1123.</w:t>
      </w:r>
    </w:p>
    <w:p w14:paraId="5032AF98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5.</w:t>
      </w:r>
      <w:r>
        <w:t xml:space="preserve"> </w:t>
      </w:r>
      <w:r>
        <w:rPr>
          <w:rFonts w:ascii="Arial" w:hAnsi="Arial" w:cs="Arial"/>
          <w:b w:val="0"/>
          <w:szCs w:val="24"/>
        </w:rPr>
        <w:t xml:space="preserve">Toxicological evaluation of two children diagnosed as Munchausen syndrome by proxy. Turkmen Z, </w:t>
      </w:r>
      <w:proofErr w:type="spellStart"/>
      <w:r>
        <w:rPr>
          <w:rFonts w:ascii="Arial" w:hAnsi="Arial" w:cs="Arial"/>
          <w:b w:val="0"/>
          <w:szCs w:val="24"/>
        </w:rPr>
        <w:t>Ziyalar</w:t>
      </w:r>
      <w:proofErr w:type="spellEnd"/>
      <w:r>
        <w:rPr>
          <w:rFonts w:ascii="Arial" w:hAnsi="Arial" w:cs="Arial"/>
          <w:b w:val="0"/>
          <w:szCs w:val="24"/>
        </w:rPr>
        <w:t xml:space="preserve"> N, Tari I, </w:t>
      </w:r>
      <w:proofErr w:type="spellStart"/>
      <w:r>
        <w:rPr>
          <w:rFonts w:ascii="Arial" w:hAnsi="Arial" w:cs="Arial"/>
          <w:b w:val="0"/>
          <w:szCs w:val="24"/>
        </w:rPr>
        <w:t>Mercan</w:t>
      </w:r>
      <w:proofErr w:type="spellEnd"/>
      <w:r>
        <w:rPr>
          <w:rFonts w:ascii="Arial" w:hAnsi="Arial" w:cs="Arial"/>
          <w:b w:val="0"/>
          <w:szCs w:val="24"/>
        </w:rPr>
        <w:t xml:space="preserve"> S, </w:t>
      </w:r>
      <w:proofErr w:type="spellStart"/>
      <w:r>
        <w:rPr>
          <w:rFonts w:ascii="Arial" w:hAnsi="Arial" w:cs="Arial"/>
          <w:b w:val="0"/>
          <w:szCs w:val="24"/>
        </w:rPr>
        <w:t>Kayiran</w:t>
      </w:r>
      <w:proofErr w:type="spellEnd"/>
      <w:r>
        <w:rPr>
          <w:rFonts w:ascii="Arial" w:hAnsi="Arial" w:cs="Arial"/>
          <w:b w:val="0"/>
          <w:szCs w:val="24"/>
        </w:rPr>
        <w:t xml:space="preserve"> SM,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 D, Cengiz S, </w:t>
      </w:r>
      <w:proofErr w:type="spellStart"/>
      <w:r>
        <w:rPr>
          <w:rFonts w:ascii="Arial" w:hAnsi="Arial" w:cs="Arial"/>
          <w:b w:val="0"/>
          <w:szCs w:val="24"/>
        </w:rPr>
        <w:t>Akcakaya</w:t>
      </w:r>
      <w:proofErr w:type="spellEnd"/>
      <w:r>
        <w:rPr>
          <w:rFonts w:ascii="Arial" w:hAnsi="Arial" w:cs="Arial"/>
          <w:b w:val="0"/>
          <w:szCs w:val="24"/>
        </w:rPr>
        <w:t xml:space="preserve"> N. Turk J </w:t>
      </w:r>
      <w:proofErr w:type="spellStart"/>
      <w:r>
        <w:rPr>
          <w:rFonts w:ascii="Arial" w:hAnsi="Arial" w:cs="Arial"/>
          <w:b w:val="0"/>
          <w:szCs w:val="24"/>
        </w:rPr>
        <w:t>Pediatr</w:t>
      </w:r>
      <w:proofErr w:type="spellEnd"/>
      <w:r>
        <w:rPr>
          <w:rFonts w:ascii="Arial" w:hAnsi="Arial" w:cs="Arial"/>
          <w:b w:val="0"/>
          <w:szCs w:val="24"/>
        </w:rPr>
        <w:t xml:space="preserve"> (2012); 54 (3): 283-286.</w:t>
      </w:r>
    </w:p>
    <w:p w14:paraId="43874B96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6. A case of </w:t>
      </w:r>
      <w:proofErr w:type="spellStart"/>
      <w:r>
        <w:rPr>
          <w:rFonts w:ascii="Arial" w:hAnsi="Arial" w:cs="Arial"/>
          <w:b w:val="0"/>
          <w:szCs w:val="24"/>
        </w:rPr>
        <w:t>oculoglandular</w:t>
      </w:r>
      <w:proofErr w:type="spellEnd"/>
      <w:r>
        <w:rPr>
          <w:rFonts w:ascii="Arial" w:hAnsi="Arial" w:cs="Arial"/>
          <w:b w:val="0"/>
          <w:szCs w:val="24"/>
        </w:rPr>
        <w:t xml:space="preserve"> tularemia resistant to medical treatment. </w:t>
      </w:r>
      <w:proofErr w:type="spellStart"/>
      <w:r>
        <w:rPr>
          <w:rFonts w:ascii="Arial" w:hAnsi="Arial" w:cs="Arial"/>
          <w:b w:val="0"/>
          <w:szCs w:val="24"/>
        </w:rPr>
        <w:t>Kosker</w:t>
      </w:r>
      <w:proofErr w:type="spellEnd"/>
      <w:r>
        <w:rPr>
          <w:rFonts w:ascii="Arial" w:hAnsi="Arial" w:cs="Arial"/>
          <w:b w:val="0"/>
          <w:szCs w:val="24"/>
        </w:rPr>
        <w:t xml:space="preserve"> M,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 D, </w:t>
      </w:r>
      <w:proofErr w:type="spellStart"/>
      <w:r>
        <w:rPr>
          <w:rFonts w:ascii="Arial" w:hAnsi="Arial" w:cs="Arial"/>
          <w:b w:val="0"/>
          <w:szCs w:val="24"/>
        </w:rPr>
        <w:t>Kilic</w:t>
      </w:r>
      <w:proofErr w:type="spellEnd"/>
      <w:r>
        <w:rPr>
          <w:rFonts w:ascii="Arial" w:hAnsi="Arial" w:cs="Arial"/>
          <w:b w:val="0"/>
          <w:szCs w:val="24"/>
        </w:rPr>
        <w:t xml:space="preserve"> O, </w:t>
      </w:r>
      <w:proofErr w:type="spellStart"/>
      <w:r>
        <w:rPr>
          <w:rFonts w:ascii="Arial" w:hAnsi="Arial" w:cs="Arial"/>
          <w:b w:val="0"/>
          <w:szCs w:val="24"/>
        </w:rPr>
        <w:t>Akil</w:t>
      </w:r>
      <w:proofErr w:type="spellEnd"/>
      <w:r>
        <w:rPr>
          <w:rFonts w:ascii="Arial" w:hAnsi="Arial" w:cs="Arial"/>
          <w:b w:val="0"/>
          <w:szCs w:val="24"/>
        </w:rPr>
        <w:t xml:space="preserve"> F, Yilmaz M, Ozturk O, </w:t>
      </w:r>
      <w:proofErr w:type="spellStart"/>
      <w:r>
        <w:rPr>
          <w:rFonts w:ascii="Arial" w:hAnsi="Arial" w:cs="Arial"/>
          <w:b w:val="0"/>
          <w:szCs w:val="24"/>
        </w:rPr>
        <w:t>Cokugras</w:t>
      </w:r>
      <w:proofErr w:type="spellEnd"/>
      <w:r>
        <w:rPr>
          <w:rFonts w:ascii="Arial" w:hAnsi="Arial" w:cs="Arial"/>
          <w:b w:val="0"/>
          <w:szCs w:val="24"/>
        </w:rPr>
        <w:t xml:space="preserve"> H, </w:t>
      </w:r>
      <w:proofErr w:type="spellStart"/>
      <w:r>
        <w:rPr>
          <w:rFonts w:ascii="Arial" w:hAnsi="Arial" w:cs="Arial"/>
          <w:b w:val="0"/>
          <w:szCs w:val="24"/>
        </w:rPr>
        <w:t>Camcioglu</w:t>
      </w:r>
      <w:proofErr w:type="spellEnd"/>
      <w:r>
        <w:rPr>
          <w:rFonts w:ascii="Arial" w:hAnsi="Arial" w:cs="Arial"/>
          <w:b w:val="0"/>
          <w:szCs w:val="24"/>
        </w:rPr>
        <w:t xml:space="preserve"> Y, </w:t>
      </w:r>
      <w:proofErr w:type="spellStart"/>
      <w:r>
        <w:rPr>
          <w:rFonts w:ascii="Arial" w:hAnsi="Arial" w:cs="Arial"/>
          <w:b w:val="0"/>
          <w:szCs w:val="24"/>
        </w:rPr>
        <w:t>Akcakaya</w:t>
      </w:r>
      <w:proofErr w:type="spellEnd"/>
      <w:r>
        <w:rPr>
          <w:rFonts w:ascii="Arial" w:hAnsi="Arial" w:cs="Arial"/>
          <w:b w:val="0"/>
          <w:szCs w:val="24"/>
        </w:rPr>
        <w:t xml:space="preserve"> N; </w:t>
      </w:r>
      <w:proofErr w:type="spellStart"/>
      <w:r>
        <w:rPr>
          <w:rFonts w:ascii="Arial" w:hAnsi="Arial" w:cs="Arial"/>
          <w:b w:val="0"/>
          <w:szCs w:val="24"/>
        </w:rPr>
        <w:t>Scand</w:t>
      </w:r>
      <w:proofErr w:type="spellEnd"/>
      <w:r>
        <w:rPr>
          <w:rFonts w:ascii="Arial" w:hAnsi="Arial" w:cs="Arial"/>
          <w:b w:val="0"/>
          <w:szCs w:val="24"/>
        </w:rPr>
        <w:t xml:space="preserve"> J Infect Dis (2013); 45 (9): 725-727</w:t>
      </w:r>
    </w:p>
    <w:p w14:paraId="386B8C83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 xml:space="preserve">7. Primary diffuse leptomeningeal gliomatosis mimicking tuberculous meningitis. </w:t>
      </w:r>
      <w:proofErr w:type="spellStart"/>
      <w:r>
        <w:rPr>
          <w:rFonts w:ascii="Arial" w:hAnsi="Arial" w:cs="Arial"/>
          <w:b w:val="0"/>
          <w:szCs w:val="24"/>
        </w:rPr>
        <w:t>Kosker</w:t>
      </w:r>
      <w:proofErr w:type="spellEnd"/>
      <w:r>
        <w:rPr>
          <w:rFonts w:ascii="Arial" w:hAnsi="Arial" w:cs="Arial"/>
          <w:b w:val="0"/>
          <w:szCs w:val="24"/>
        </w:rPr>
        <w:t xml:space="preserve"> M,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 D, </w:t>
      </w:r>
      <w:proofErr w:type="spellStart"/>
      <w:r>
        <w:rPr>
          <w:rFonts w:ascii="Arial" w:hAnsi="Arial" w:cs="Arial"/>
          <w:b w:val="0"/>
          <w:szCs w:val="24"/>
        </w:rPr>
        <w:t>Kilic</w:t>
      </w:r>
      <w:proofErr w:type="spellEnd"/>
      <w:r>
        <w:rPr>
          <w:rFonts w:ascii="Arial" w:hAnsi="Arial" w:cs="Arial"/>
          <w:b w:val="0"/>
          <w:szCs w:val="24"/>
        </w:rPr>
        <w:t xml:space="preserve"> O, </w:t>
      </w:r>
      <w:proofErr w:type="spellStart"/>
      <w:r>
        <w:rPr>
          <w:rFonts w:ascii="Arial" w:hAnsi="Arial" w:cs="Arial"/>
          <w:b w:val="0"/>
          <w:szCs w:val="24"/>
        </w:rPr>
        <w:t>Hasiloglu</w:t>
      </w:r>
      <w:proofErr w:type="spellEnd"/>
      <w:r>
        <w:rPr>
          <w:rFonts w:ascii="Arial" w:hAnsi="Arial" w:cs="Arial"/>
          <w:b w:val="0"/>
          <w:szCs w:val="24"/>
        </w:rPr>
        <w:t xml:space="preserve"> ZI, </w:t>
      </w:r>
      <w:proofErr w:type="spellStart"/>
      <w:r>
        <w:rPr>
          <w:rFonts w:ascii="Arial" w:hAnsi="Arial" w:cs="Arial"/>
          <w:b w:val="0"/>
          <w:szCs w:val="24"/>
        </w:rPr>
        <w:t>Islak</w:t>
      </w:r>
      <w:proofErr w:type="spellEnd"/>
      <w:r>
        <w:rPr>
          <w:rFonts w:ascii="Arial" w:hAnsi="Arial" w:cs="Arial"/>
          <w:b w:val="0"/>
          <w:szCs w:val="24"/>
        </w:rPr>
        <w:t xml:space="preserve"> C, </w:t>
      </w:r>
      <w:proofErr w:type="spellStart"/>
      <w:r>
        <w:rPr>
          <w:rFonts w:ascii="Arial" w:hAnsi="Arial" w:cs="Arial"/>
          <w:b w:val="0"/>
          <w:szCs w:val="24"/>
        </w:rPr>
        <w:t>Kafadar</w:t>
      </w:r>
      <w:proofErr w:type="spellEnd"/>
      <w:r>
        <w:rPr>
          <w:rFonts w:ascii="Arial" w:hAnsi="Arial" w:cs="Arial"/>
          <w:b w:val="0"/>
          <w:szCs w:val="24"/>
        </w:rPr>
        <w:t xml:space="preserve"> A, Batur S, Oz B, </w:t>
      </w:r>
      <w:proofErr w:type="spellStart"/>
      <w:r>
        <w:rPr>
          <w:rFonts w:ascii="Arial" w:hAnsi="Arial" w:cs="Arial"/>
          <w:b w:val="0"/>
          <w:szCs w:val="24"/>
        </w:rPr>
        <w:t>Cokugras</w:t>
      </w:r>
      <w:proofErr w:type="spellEnd"/>
      <w:r>
        <w:rPr>
          <w:rFonts w:ascii="Arial" w:hAnsi="Arial" w:cs="Arial"/>
          <w:b w:val="0"/>
          <w:szCs w:val="24"/>
        </w:rPr>
        <w:t xml:space="preserve"> H, </w:t>
      </w:r>
      <w:proofErr w:type="spellStart"/>
      <w:r>
        <w:rPr>
          <w:rFonts w:ascii="Arial" w:hAnsi="Arial" w:cs="Arial"/>
          <w:b w:val="0"/>
          <w:szCs w:val="24"/>
        </w:rPr>
        <w:t>Akcakaya</w:t>
      </w:r>
      <w:proofErr w:type="spellEnd"/>
      <w:r>
        <w:rPr>
          <w:rFonts w:ascii="Arial" w:hAnsi="Arial" w:cs="Arial"/>
          <w:b w:val="0"/>
          <w:szCs w:val="24"/>
        </w:rPr>
        <w:t xml:space="preserve"> N, </w:t>
      </w:r>
      <w:proofErr w:type="spellStart"/>
      <w:r>
        <w:rPr>
          <w:rFonts w:ascii="Arial" w:hAnsi="Arial" w:cs="Arial"/>
          <w:b w:val="0"/>
          <w:szCs w:val="24"/>
        </w:rPr>
        <w:t>Camcioglu</w:t>
      </w:r>
      <w:proofErr w:type="spellEnd"/>
      <w:r>
        <w:rPr>
          <w:rFonts w:ascii="Arial" w:hAnsi="Arial" w:cs="Arial"/>
          <w:b w:val="0"/>
          <w:szCs w:val="24"/>
        </w:rPr>
        <w:t xml:space="preserve"> Y. J Child Neurol (2014); 29(12): 171-175</w:t>
      </w:r>
    </w:p>
    <w:p w14:paraId="10FA6153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8.</w:t>
      </w:r>
      <w:r>
        <w:t xml:space="preserve"> </w:t>
      </w:r>
      <w:r>
        <w:rPr>
          <w:rFonts w:ascii="Arial" w:hAnsi="Arial" w:cs="Arial"/>
          <w:b w:val="0"/>
          <w:szCs w:val="24"/>
        </w:rPr>
        <w:t xml:space="preserve">Renal amyloidosis secondary to cystic fibrosis.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 D, </w:t>
      </w:r>
      <w:proofErr w:type="spellStart"/>
      <w:r>
        <w:rPr>
          <w:rFonts w:ascii="Arial" w:hAnsi="Arial" w:cs="Arial"/>
          <w:b w:val="0"/>
          <w:szCs w:val="24"/>
        </w:rPr>
        <w:t>Cokugras</w:t>
      </w:r>
      <w:proofErr w:type="spellEnd"/>
      <w:r>
        <w:rPr>
          <w:rFonts w:ascii="Arial" w:hAnsi="Arial" w:cs="Arial"/>
          <w:b w:val="0"/>
          <w:szCs w:val="24"/>
        </w:rPr>
        <w:t xml:space="preserve"> H, </w:t>
      </w:r>
      <w:proofErr w:type="spellStart"/>
      <w:r>
        <w:rPr>
          <w:rFonts w:ascii="Arial" w:hAnsi="Arial" w:cs="Arial"/>
          <w:b w:val="0"/>
          <w:szCs w:val="24"/>
        </w:rPr>
        <w:t>Camcioglu</w:t>
      </w:r>
      <w:proofErr w:type="spellEnd"/>
      <w:r>
        <w:rPr>
          <w:rFonts w:ascii="Arial" w:hAnsi="Arial" w:cs="Arial"/>
          <w:b w:val="0"/>
          <w:szCs w:val="24"/>
        </w:rPr>
        <w:t xml:space="preserve"> Y, </w:t>
      </w:r>
      <w:proofErr w:type="spellStart"/>
      <w:r>
        <w:rPr>
          <w:rFonts w:ascii="Arial" w:hAnsi="Arial" w:cs="Arial"/>
          <w:b w:val="0"/>
          <w:szCs w:val="24"/>
        </w:rPr>
        <w:t>Akcakaya</w:t>
      </w:r>
      <w:proofErr w:type="spellEnd"/>
      <w:r>
        <w:rPr>
          <w:rFonts w:ascii="Arial" w:hAnsi="Arial" w:cs="Arial"/>
          <w:b w:val="0"/>
          <w:szCs w:val="24"/>
        </w:rPr>
        <w:t xml:space="preserve"> N, </w:t>
      </w:r>
      <w:proofErr w:type="spellStart"/>
      <w:r>
        <w:rPr>
          <w:rFonts w:ascii="Arial" w:hAnsi="Arial" w:cs="Arial"/>
          <w:b w:val="0"/>
          <w:szCs w:val="24"/>
        </w:rPr>
        <w:t>Kilicaslan</w:t>
      </w:r>
      <w:proofErr w:type="spellEnd"/>
      <w:r>
        <w:rPr>
          <w:rFonts w:ascii="Arial" w:hAnsi="Arial" w:cs="Arial"/>
          <w:b w:val="0"/>
          <w:szCs w:val="24"/>
        </w:rPr>
        <w:t xml:space="preserve"> I, Sever L, </w:t>
      </w:r>
      <w:proofErr w:type="spellStart"/>
      <w:r>
        <w:rPr>
          <w:rFonts w:ascii="Arial" w:hAnsi="Arial" w:cs="Arial"/>
          <w:b w:val="0"/>
          <w:szCs w:val="24"/>
        </w:rPr>
        <w:t>Canpolat</w:t>
      </w:r>
      <w:proofErr w:type="spellEnd"/>
      <w:r>
        <w:rPr>
          <w:rFonts w:ascii="Arial" w:hAnsi="Arial" w:cs="Arial"/>
          <w:b w:val="0"/>
          <w:szCs w:val="24"/>
        </w:rPr>
        <w:t xml:space="preserve"> N. Indian J </w:t>
      </w:r>
      <w:proofErr w:type="spellStart"/>
      <w:r>
        <w:rPr>
          <w:rFonts w:ascii="Arial" w:hAnsi="Arial" w:cs="Arial"/>
          <w:b w:val="0"/>
          <w:szCs w:val="24"/>
        </w:rPr>
        <w:t>Pediatr</w:t>
      </w:r>
      <w:proofErr w:type="spellEnd"/>
      <w:r>
        <w:rPr>
          <w:rFonts w:ascii="Arial" w:hAnsi="Arial" w:cs="Arial"/>
          <w:b w:val="0"/>
          <w:szCs w:val="24"/>
        </w:rPr>
        <w:t xml:space="preserve"> (2014); 81 (9): 973-974</w:t>
      </w:r>
    </w:p>
    <w:p w14:paraId="7074578F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9. Dicle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Cs w:val="24"/>
        </w:rPr>
        <w:t>Necla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Akcakaya</w:t>
      </w:r>
      <w:proofErr w:type="spellEnd"/>
      <w:r>
        <w:rPr>
          <w:rFonts w:ascii="Arial" w:hAnsi="Arial" w:cs="Arial"/>
          <w:b w:val="0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Cs w:val="24"/>
        </w:rPr>
        <w:t>Çocukluk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Çağında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Toplum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Kaynaklı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Pnömoniler</w:t>
      </w:r>
      <w:proofErr w:type="spellEnd"/>
      <w:r>
        <w:rPr>
          <w:rFonts w:ascii="Arial" w:hAnsi="Arial" w:cs="Arial"/>
          <w:b w:val="0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Cs w:val="24"/>
        </w:rPr>
        <w:t>Çokugras</w:t>
      </w:r>
      <w:proofErr w:type="spellEnd"/>
      <w:r>
        <w:rPr>
          <w:rFonts w:ascii="Arial" w:hAnsi="Arial" w:cs="Arial"/>
          <w:b w:val="0"/>
          <w:szCs w:val="24"/>
        </w:rPr>
        <w:t xml:space="preserve"> H (ed): </w:t>
      </w:r>
      <w:proofErr w:type="spellStart"/>
      <w:r>
        <w:rPr>
          <w:rFonts w:ascii="Arial" w:hAnsi="Arial" w:cs="Arial"/>
          <w:b w:val="0"/>
          <w:szCs w:val="24"/>
        </w:rPr>
        <w:t>Çocuklarda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Enfeksiyon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Hastalıkları</w:t>
      </w:r>
      <w:proofErr w:type="spellEnd"/>
      <w:r>
        <w:rPr>
          <w:rFonts w:ascii="Arial" w:hAnsi="Arial" w:cs="Arial"/>
          <w:b w:val="0"/>
          <w:szCs w:val="24"/>
        </w:rPr>
        <w:t xml:space="preserve">. 1. </w:t>
      </w:r>
      <w:proofErr w:type="spellStart"/>
      <w:r>
        <w:rPr>
          <w:rFonts w:ascii="Arial" w:hAnsi="Arial" w:cs="Arial"/>
          <w:b w:val="0"/>
          <w:szCs w:val="24"/>
        </w:rPr>
        <w:t>Basım</w:t>
      </w:r>
      <w:proofErr w:type="spellEnd"/>
      <w:r>
        <w:rPr>
          <w:rFonts w:ascii="Arial" w:hAnsi="Arial" w:cs="Arial"/>
          <w:b w:val="0"/>
          <w:szCs w:val="24"/>
        </w:rPr>
        <w:t xml:space="preserve">. İstanbul: </w:t>
      </w:r>
      <w:proofErr w:type="spellStart"/>
      <w:r>
        <w:rPr>
          <w:rFonts w:ascii="Arial" w:hAnsi="Arial" w:cs="Arial"/>
          <w:b w:val="0"/>
          <w:szCs w:val="24"/>
        </w:rPr>
        <w:t>Selen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Yayıncılık</w:t>
      </w:r>
      <w:proofErr w:type="spellEnd"/>
      <w:r>
        <w:rPr>
          <w:rFonts w:ascii="Arial" w:hAnsi="Arial" w:cs="Arial"/>
          <w:b w:val="0"/>
          <w:szCs w:val="24"/>
        </w:rPr>
        <w:t xml:space="preserve">; 2015. </w:t>
      </w:r>
      <w:r>
        <w:rPr>
          <w:rFonts w:ascii="Arial" w:hAnsi="Arial" w:cs="Arial"/>
          <w:bCs w:val="0"/>
          <w:szCs w:val="24"/>
        </w:rPr>
        <w:t>s</w:t>
      </w:r>
      <w:r>
        <w:rPr>
          <w:rFonts w:ascii="Arial" w:hAnsi="Arial" w:cs="Arial"/>
          <w:b w:val="0"/>
          <w:szCs w:val="24"/>
        </w:rPr>
        <w:t>35</w:t>
      </w:r>
    </w:p>
    <w:p w14:paraId="3A5001CF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10. Dicle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Cs w:val="24"/>
        </w:rPr>
        <w:t>Necla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Akcakaya</w:t>
      </w:r>
      <w:proofErr w:type="spellEnd"/>
      <w:r>
        <w:rPr>
          <w:rFonts w:ascii="Arial" w:hAnsi="Arial" w:cs="Arial"/>
          <w:b w:val="0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Cs w:val="24"/>
        </w:rPr>
        <w:t>Plevral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Ampiyem</w:t>
      </w:r>
      <w:proofErr w:type="spellEnd"/>
      <w:r>
        <w:rPr>
          <w:rFonts w:ascii="Arial" w:hAnsi="Arial" w:cs="Arial"/>
          <w:b w:val="0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Cs w:val="24"/>
        </w:rPr>
        <w:t>Çokugras</w:t>
      </w:r>
      <w:proofErr w:type="spellEnd"/>
      <w:r>
        <w:rPr>
          <w:rFonts w:ascii="Arial" w:hAnsi="Arial" w:cs="Arial"/>
          <w:b w:val="0"/>
          <w:szCs w:val="24"/>
        </w:rPr>
        <w:t xml:space="preserve"> H (ed): </w:t>
      </w:r>
      <w:proofErr w:type="spellStart"/>
      <w:r>
        <w:rPr>
          <w:rFonts w:ascii="Arial" w:hAnsi="Arial" w:cs="Arial"/>
          <w:b w:val="0"/>
          <w:szCs w:val="24"/>
        </w:rPr>
        <w:t>Çocuklarda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Enfeksiyon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Hastalıkları</w:t>
      </w:r>
      <w:proofErr w:type="spellEnd"/>
      <w:r>
        <w:rPr>
          <w:rFonts w:ascii="Arial" w:hAnsi="Arial" w:cs="Arial"/>
          <w:b w:val="0"/>
          <w:szCs w:val="24"/>
        </w:rPr>
        <w:t xml:space="preserve">. 1. </w:t>
      </w:r>
      <w:proofErr w:type="spellStart"/>
      <w:r>
        <w:rPr>
          <w:rFonts w:ascii="Arial" w:hAnsi="Arial" w:cs="Arial"/>
          <w:b w:val="0"/>
          <w:szCs w:val="24"/>
        </w:rPr>
        <w:t>Basım</w:t>
      </w:r>
      <w:proofErr w:type="spellEnd"/>
      <w:r>
        <w:rPr>
          <w:rFonts w:ascii="Arial" w:hAnsi="Arial" w:cs="Arial"/>
          <w:b w:val="0"/>
          <w:szCs w:val="24"/>
        </w:rPr>
        <w:t xml:space="preserve">. İstanbul: </w:t>
      </w:r>
      <w:proofErr w:type="spellStart"/>
      <w:r>
        <w:rPr>
          <w:rFonts w:ascii="Arial" w:hAnsi="Arial" w:cs="Arial"/>
          <w:b w:val="0"/>
          <w:szCs w:val="24"/>
        </w:rPr>
        <w:t>Selen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Yayıncılık</w:t>
      </w:r>
      <w:proofErr w:type="spellEnd"/>
      <w:r>
        <w:rPr>
          <w:rFonts w:ascii="Arial" w:hAnsi="Arial" w:cs="Arial"/>
          <w:b w:val="0"/>
          <w:szCs w:val="24"/>
        </w:rPr>
        <w:t xml:space="preserve">; 2015. </w:t>
      </w:r>
      <w:r>
        <w:rPr>
          <w:rFonts w:ascii="Arial" w:hAnsi="Arial" w:cs="Arial"/>
          <w:bCs w:val="0"/>
          <w:szCs w:val="24"/>
        </w:rPr>
        <w:t>s</w:t>
      </w:r>
      <w:r>
        <w:rPr>
          <w:rFonts w:ascii="Arial" w:hAnsi="Arial" w:cs="Arial"/>
          <w:b w:val="0"/>
          <w:szCs w:val="24"/>
        </w:rPr>
        <w:t>49</w:t>
      </w:r>
    </w:p>
    <w:p w14:paraId="2A623B97" w14:textId="77777777" w:rsidR="005E0AA5" w:rsidRDefault="005E0AA5" w:rsidP="005E0AA5">
      <w:pPr>
        <w:pStyle w:val="GvdeMetni2"/>
        <w:spacing w:after="120" w:line="36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11. Dicle </w:t>
      </w:r>
      <w:proofErr w:type="spellStart"/>
      <w:r>
        <w:rPr>
          <w:rFonts w:ascii="Arial" w:hAnsi="Arial" w:cs="Arial"/>
          <w:b w:val="0"/>
          <w:szCs w:val="24"/>
        </w:rPr>
        <w:t>Sener</w:t>
      </w:r>
      <w:proofErr w:type="spellEnd"/>
      <w:r>
        <w:rPr>
          <w:rFonts w:ascii="Arial" w:hAnsi="Arial" w:cs="Arial"/>
          <w:b w:val="0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Cs w:val="24"/>
        </w:rPr>
        <w:t>Necla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Akcakaya</w:t>
      </w:r>
      <w:proofErr w:type="spellEnd"/>
      <w:r>
        <w:rPr>
          <w:rFonts w:ascii="Arial" w:hAnsi="Arial" w:cs="Arial"/>
          <w:b w:val="0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Cs w:val="24"/>
        </w:rPr>
        <w:t>Akut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Bronşiyolit</w:t>
      </w:r>
      <w:proofErr w:type="spellEnd"/>
      <w:r>
        <w:rPr>
          <w:rFonts w:ascii="Arial" w:hAnsi="Arial" w:cs="Arial"/>
          <w:b w:val="0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Cs w:val="24"/>
        </w:rPr>
        <w:t>Çokugras</w:t>
      </w:r>
      <w:proofErr w:type="spellEnd"/>
      <w:r>
        <w:rPr>
          <w:rFonts w:ascii="Arial" w:hAnsi="Arial" w:cs="Arial"/>
          <w:b w:val="0"/>
          <w:szCs w:val="24"/>
        </w:rPr>
        <w:t xml:space="preserve"> H (ed): </w:t>
      </w:r>
      <w:proofErr w:type="spellStart"/>
      <w:r>
        <w:rPr>
          <w:rFonts w:ascii="Arial" w:hAnsi="Arial" w:cs="Arial"/>
          <w:b w:val="0"/>
          <w:szCs w:val="24"/>
        </w:rPr>
        <w:t>Çocuklarda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Enfeksiyon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Hastalıkları</w:t>
      </w:r>
      <w:proofErr w:type="spellEnd"/>
      <w:r>
        <w:rPr>
          <w:rFonts w:ascii="Arial" w:hAnsi="Arial" w:cs="Arial"/>
          <w:b w:val="0"/>
          <w:szCs w:val="24"/>
        </w:rPr>
        <w:t xml:space="preserve">. 1. </w:t>
      </w:r>
      <w:proofErr w:type="spellStart"/>
      <w:r>
        <w:rPr>
          <w:rFonts w:ascii="Arial" w:hAnsi="Arial" w:cs="Arial"/>
          <w:b w:val="0"/>
          <w:szCs w:val="24"/>
        </w:rPr>
        <w:t>Basım</w:t>
      </w:r>
      <w:proofErr w:type="spellEnd"/>
      <w:r>
        <w:rPr>
          <w:rFonts w:ascii="Arial" w:hAnsi="Arial" w:cs="Arial"/>
          <w:b w:val="0"/>
          <w:szCs w:val="24"/>
        </w:rPr>
        <w:t xml:space="preserve">. İstanbul: </w:t>
      </w:r>
      <w:proofErr w:type="spellStart"/>
      <w:r>
        <w:rPr>
          <w:rFonts w:ascii="Arial" w:hAnsi="Arial" w:cs="Arial"/>
          <w:b w:val="0"/>
          <w:szCs w:val="24"/>
        </w:rPr>
        <w:t>Selen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Yayıncılık</w:t>
      </w:r>
      <w:proofErr w:type="spellEnd"/>
      <w:r>
        <w:rPr>
          <w:rFonts w:ascii="Arial" w:hAnsi="Arial" w:cs="Arial"/>
          <w:b w:val="0"/>
          <w:szCs w:val="24"/>
        </w:rPr>
        <w:t>; 2015. s55</w:t>
      </w:r>
    </w:p>
    <w:p w14:paraId="1594DE15" w14:textId="449D7F88" w:rsidR="005E0AA5" w:rsidRDefault="005E0AA5" w:rsidP="005E0A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 Dicle </w:t>
      </w:r>
      <w:proofErr w:type="spellStart"/>
      <w:r>
        <w:rPr>
          <w:rFonts w:ascii="Arial" w:hAnsi="Arial" w:cs="Arial"/>
          <w:bCs/>
          <w:sz w:val="24"/>
          <w:szCs w:val="24"/>
        </w:rPr>
        <w:t>Sener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Necla </w:t>
      </w:r>
      <w:proofErr w:type="spellStart"/>
      <w:r>
        <w:rPr>
          <w:rFonts w:ascii="Arial" w:hAnsi="Arial" w:cs="Arial"/>
          <w:bCs/>
          <w:sz w:val="24"/>
          <w:szCs w:val="24"/>
        </w:rPr>
        <w:t>Akcakaya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Akciğer </w:t>
      </w:r>
      <w:proofErr w:type="spellStart"/>
      <w:r>
        <w:rPr>
          <w:rFonts w:ascii="Arial" w:hAnsi="Arial" w:cs="Arial"/>
          <w:bCs/>
          <w:sz w:val="24"/>
          <w:szCs w:val="24"/>
        </w:rPr>
        <w:t>Absesi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Çokugras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 (</w:t>
      </w:r>
      <w:proofErr w:type="spellStart"/>
      <w:r>
        <w:rPr>
          <w:rFonts w:ascii="Arial" w:hAnsi="Arial" w:cs="Arial"/>
          <w:bCs/>
          <w:sz w:val="24"/>
          <w:szCs w:val="24"/>
        </w:rPr>
        <w:t>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): Çocuklarda Enfeksiyon Hastalıkları. 1. Basım. İstanbul: Selen Yayıncılık; 2015. </w:t>
      </w:r>
      <w:proofErr w:type="gramStart"/>
      <w:r>
        <w:rPr>
          <w:rFonts w:ascii="Arial" w:hAnsi="Arial" w:cs="Arial"/>
          <w:bCs/>
          <w:sz w:val="24"/>
          <w:szCs w:val="24"/>
        </w:rPr>
        <w:t>s</w:t>
      </w:r>
      <w:proofErr w:type="gramEnd"/>
      <w:r>
        <w:rPr>
          <w:rFonts w:ascii="Arial" w:hAnsi="Arial" w:cs="Arial"/>
          <w:bCs/>
          <w:sz w:val="24"/>
          <w:szCs w:val="24"/>
        </w:rPr>
        <w:t>87</w:t>
      </w:r>
    </w:p>
    <w:p w14:paraId="6932673C" w14:textId="4DAF590A" w:rsidR="005E0AA5" w:rsidRDefault="005E0AA5" w:rsidP="005E0A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5AF7B238" w14:textId="02F97EE2" w:rsidR="005E0AA5" w:rsidRDefault="005E0AA5" w:rsidP="005E0A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 indeksi: 5</w:t>
      </w:r>
    </w:p>
    <w:p w14:paraId="388557E1" w14:textId="5FC4D0A9" w:rsidR="005E0AA5" w:rsidRDefault="005E0AA5" w:rsidP="005E0A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Yabancı dil: İngilizce</w:t>
      </w:r>
    </w:p>
    <w:p w14:paraId="1C85C40E" w14:textId="46EF2E0F" w:rsidR="005E0AA5" w:rsidRDefault="005E0AA5" w:rsidP="005E0AA5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Orchid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No:0000-0002-1170-2185</w:t>
      </w:r>
      <w:bookmarkStart w:id="0" w:name="_GoBack"/>
      <w:bookmarkEnd w:id="0"/>
    </w:p>
    <w:p w14:paraId="0B189763" w14:textId="77777777" w:rsidR="005E0AA5" w:rsidRDefault="005E0AA5" w:rsidP="005E0AA5">
      <w:pPr>
        <w:rPr>
          <w:rFonts w:ascii="Arial" w:hAnsi="Arial" w:cs="Arial"/>
          <w:bCs/>
        </w:rPr>
      </w:pPr>
    </w:p>
    <w:p w14:paraId="49745694" w14:textId="77777777" w:rsidR="005E0AA5" w:rsidRDefault="005E0AA5" w:rsidP="005E0AA5">
      <w:pPr>
        <w:rPr>
          <w:rFonts w:ascii="Arial" w:hAnsi="Arial" w:cs="Arial"/>
          <w:bCs/>
        </w:rPr>
      </w:pPr>
    </w:p>
    <w:p w14:paraId="7A0085A6" w14:textId="77777777" w:rsidR="00A80AEC" w:rsidRDefault="00A80AEC"/>
    <w:sectPr w:rsidR="00A8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8D"/>
    <w:rsid w:val="00147D8D"/>
    <w:rsid w:val="005E0AA5"/>
    <w:rsid w:val="00A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4CA7"/>
  <w15:chartTrackingRefBased/>
  <w15:docId w15:val="{A10E5DD4-B4CF-4E26-BEA0-1AB3AB5B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AA5"/>
    <w:pPr>
      <w:spacing w:after="0" w:line="240" w:lineRule="auto"/>
      <w:ind w:firstLine="340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5E0AA5"/>
    <w:pPr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5E0AA5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dicle şener okur</dc:creator>
  <cp:keywords/>
  <dc:description/>
  <cp:revision>2</cp:revision>
  <dcterms:created xsi:type="dcterms:W3CDTF">2021-11-17T12:11:00Z</dcterms:created>
  <dcterms:modified xsi:type="dcterms:W3CDTF">2021-11-17T12:16:00Z</dcterms:modified>
</cp:coreProperties>
</file>