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EE" w:rsidRPr="00852DDE" w:rsidRDefault="00CB29EE" w:rsidP="00CB29EE">
      <w:pPr>
        <w:pStyle w:val="GvdeMetni2"/>
        <w:spacing w:after="120" w:line="360" w:lineRule="auto"/>
        <w:rPr>
          <w:rFonts w:ascii="Arial" w:hAnsi="Arial" w:cs="Arial"/>
          <w:bCs w:val="0"/>
          <w:szCs w:val="24"/>
        </w:rPr>
      </w:pPr>
      <w:bookmarkStart w:id="0" w:name="_GoBack"/>
      <w:bookmarkEnd w:id="0"/>
      <w:r w:rsidRPr="00852DDE">
        <w:rPr>
          <w:rFonts w:ascii="Arial" w:hAnsi="Arial" w:cs="Arial"/>
          <w:bCs w:val="0"/>
          <w:szCs w:val="24"/>
        </w:rPr>
        <w:t>ÖZGEÇMİŞ</w:t>
      </w:r>
    </w:p>
    <w:p w:rsidR="00CB29EE" w:rsidRPr="00852DDE" w:rsidRDefault="00CB29EE" w:rsidP="00CB29EE">
      <w:pPr>
        <w:rPr>
          <w:rFonts w:ascii="Arial" w:hAnsi="Arial" w:cs="Arial"/>
          <w:b/>
          <w:sz w:val="24"/>
          <w:szCs w:val="24"/>
        </w:rPr>
      </w:pPr>
      <w:r w:rsidRPr="00852DDE">
        <w:rPr>
          <w:rFonts w:ascii="Arial" w:hAnsi="Arial" w:cs="Arial"/>
          <w:b/>
          <w:sz w:val="24"/>
          <w:szCs w:val="24"/>
        </w:rPr>
        <w:t>1. KİŞİSEL BİLGİLER</w:t>
      </w:r>
    </w:p>
    <w:p w:rsidR="00CB29EE" w:rsidRPr="00852DDE" w:rsidRDefault="00CB29EE" w:rsidP="00CB29EE">
      <w:pPr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52DDE" w:rsidRPr="00852DDE" w:rsidTr="00852DDE">
        <w:tblPrEx>
          <w:tblCellMar>
            <w:top w:w="0" w:type="dxa"/>
            <w:bottom w:w="0" w:type="dxa"/>
          </w:tblCellMar>
        </w:tblPrEx>
        <w:trPr>
          <w:trHeight w:val="2470"/>
        </w:trPr>
        <w:tc>
          <w:tcPr>
            <w:tcW w:w="9540" w:type="dxa"/>
          </w:tcPr>
          <w:p w:rsidR="00852DDE" w:rsidRPr="00852DDE" w:rsidRDefault="00852DDE" w:rsidP="00CB29EE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852DDE">
              <w:rPr>
                <w:rFonts w:ascii="Arial" w:hAnsi="Arial" w:cs="Arial"/>
                <w:sz w:val="24"/>
                <w:szCs w:val="24"/>
              </w:rPr>
              <w:t xml:space="preserve">ADI, SOYADI: </w:t>
            </w:r>
            <w:r w:rsidR="00360F37">
              <w:rPr>
                <w:rFonts w:ascii="Arial" w:hAnsi="Arial" w:cs="Arial"/>
                <w:sz w:val="24"/>
                <w:szCs w:val="24"/>
              </w:rPr>
              <w:t>Fikri Selçuk Şimşek</w:t>
            </w:r>
          </w:p>
          <w:p w:rsidR="00852DDE" w:rsidRPr="00852DDE" w:rsidRDefault="00852DDE" w:rsidP="00CB29EE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852DDE">
              <w:rPr>
                <w:rFonts w:ascii="Arial" w:hAnsi="Arial" w:cs="Arial"/>
                <w:sz w:val="24"/>
                <w:szCs w:val="24"/>
              </w:rPr>
              <w:t>ÇALIŞTIĞI KURUM ve BİRİMİ:</w:t>
            </w:r>
            <w:r w:rsidR="00DD138A">
              <w:rPr>
                <w:rFonts w:ascii="Arial" w:hAnsi="Arial" w:cs="Arial"/>
                <w:sz w:val="24"/>
                <w:szCs w:val="24"/>
              </w:rPr>
              <w:t xml:space="preserve"> Pamukkale ÜTF </w:t>
            </w:r>
            <w:r w:rsidR="00360F37">
              <w:rPr>
                <w:rFonts w:ascii="Arial" w:hAnsi="Arial" w:cs="Arial"/>
                <w:sz w:val="24"/>
                <w:szCs w:val="24"/>
              </w:rPr>
              <w:t>Nükleer Tıp A.D</w:t>
            </w:r>
          </w:p>
          <w:p w:rsidR="00852DDE" w:rsidRPr="00852DDE" w:rsidRDefault="00852DDE" w:rsidP="00CB29EE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852DDE">
              <w:rPr>
                <w:rFonts w:ascii="Arial" w:hAnsi="Arial" w:cs="Arial"/>
                <w:sz w:val="24"/>
                <w:szCs w:val="24"/>
              </w:rPr>
              <w:t>AKADEMİK ÜNVANI (Varsa)</w:t>
            </w:r>
            <w:r w:rsidR="00F91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2DDE">
              <w:rPr>
                <w:rFonts w:ascii="Arial" w:hAnsi="Arial" w:cs="Arial"/>
                <w:sz w:val="24"/>
                <w:szCs w:val="24"/>
              </w:rPr>
              <w:t>:</w:t>
            </w:r>
            <w:r w:rsidR="00F91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0F37">
              <w:rPr>
                <w:rFonts w:ascii="Arial" w:hAnsi="Arial" w:cs="Arial"/>
                <w:sz w:val="24"/>
                <w:szCs w:val="24"/>
              </w:rPr>
              <w:t>Doç.</w:t>
            </w:r>
            <w:r w:rsidR="00A74B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138A">
              <w:rPr>
                <w:rFonts w:ascii="Arial" w:hAnsi="Arial" w:cs="Arial"/>
                <w:sz w:val="24"/>
                <w:szCs w:val="24"/>
              </w:rPr>
              <w:t>Dr</w:t>
            </w:r>
            <w:r w:rsidR="00A74B2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60F37" w:rsidRPr="00852DDE" w:rsidRDefault="00852DDE" w:rsidP="00360F37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852DDE">
              <w:rPr>
                <w:rFonts w:ascii="Arial" w:hAnsi="Arial" w:cs="Arial"/>
                <w:sz w:val="24"/>
                <w:szCs w:val="24"/>
              </w:rPr>
              <w:t xml:space="preserve">YAZIŞMA ADRESİ: </w:t>
            </w:r>
            <w:r w:rsidR="00DD138A">
              <w:rPr>
                <w:rFonts w:ascii="Arial" w:hAnsi="Arial" w:cs="Arial"/>
                <w:sz w:val="24"/>
                <w:szCs w:val="24"/>
              </w:rPr>
              <w:t xml:space="preserve">Pamukkale ÜTF Hastaneleri </w:t>
            </w:r>
            <w:r w:rsidR="00360F37">
              <w:rPr>
                <w:rFonts w:ascii="Arial" w:hAnsi="Arial" w:cs="Arial"/>
                <w:sz w:val="24"/>
                <w:szCs w:val="24"/>
              </w:rPr>
              <w:t>Nükleer Tıp A.D</w:t>
            </w:r>
          </w:p>
          <w:p w:rsidR="00DD138A" w:rsidRPr="00852DDE" w:rsidRDefault="00DD138A" w:rsidP="00CB29EE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Kınıklı/Denizli</w:t>
            </w:r>
          </w:p>
          <w:p w:rsidR="00852DDE" w:rsidRPr="00852DDE" w:rsidRDefault="00852DDE" w:rsidP="00CB29EE">
            <w:pPr>
              <w:spacing w:before="100" w:after="10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52DDE">
              <w:rPr>
                <w:rFonts w:ascii="Arial" w:hAnsi="Arial" w:cs="Arial"/>
                <w:sz w:val="24"/>
                <w:szCs w:val="24"/>
                <w:lang w:val="de-DE"/>
              </w:rPr>
              <w:t xml:space="preserve">TELEFON: </w:t>
            </w:r>
            <w:r w:rsidR="00360F37">
              <w:rPr>
                <w:rFonts w:ascii="Arial" w:hAnsi="Arial" w:cs="Arial"/>
                <w:sz w:val="24"/>
                <w:szCs w:val="24"/>
                <w:lang w:val="de-DE"/>
              </w:rPr>
              <w:t>5066719320</w:t>
            </w:r>
          </w:p>
          <w:p w:rsidR="00852DDE" w:rsidRPr="00852DDE" w:rsidRDefault="00852DDE" w:rsidP="00360F37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852DDE">
              <w:rPr>
                <w:rFonts w:ascii="Arial" w:hAnsi="Arial" w:cs="Arial"/>
                <w:sz w:val="24"/>
                <w:szCs w:val="24"/>
                <w:lang w:val="de-DE"/>
              </w:rPr>
              <w:t xml:space="preserve">E-MAIL: </w:t>
            </w:r>
            <w:r w:rsidR="00360F37">
              <w:rPr>
                <w:rFonts w:ascii="Arial" w:hAnsi="Arial" w:cs="Arial"/>
                <w:sz w:val="24"/>
                <w:szCs w:val="24"/>
                <w:lang w:val="de-DE"/>
              </w:rPr>
              <w:t>fselcuksimsek@gmail.com</w:t>
            </w:r>
          </w:p>
        </w:tc>
      </w:tr>
    </w:tbl>
    <w:p w:rsidR="00CB29EE" w:rsidRPr="00852DDE" w:rsidRDefault="00CB29EE" w:rsidP="00CB29EE">
      <w:pPr>
        <w:rPr>
          <w:rFonts w:ascii="Arial" w:hAnsi="Arial" w:cs="Arial"/>
          <w:sz w:val="24"/>
          <w:szCs w:val="24"/>
          <w:lang w:val="de-DE"/>
        </w:rPr>
      </w:pPr>
    </w:p>
    <w:p w:rsidR="00CB29EE" w:rsidRPr="00852DDE" w:rsidRDefault="00CB29EE" w:rsidP="00CB29EE">
      <w:pPr>
        <w:rPr>
          <w:rFonts w:ascii="Arial" w:hAnsi="Arial" w:cs="Arial"/>
          <w:b/>
          <w:sz w:val="24"/>
          <w:szCs w:val="24"/>
        </w:rPr>
      </w:pPr>
      <w:r w:rsidRPr="00852DDE">
        <w:rPr>
          <w:rFonts w:ascii="Arial" w:hAnsi="Arial" w:cs="Arial"/>
          <w:b/>
          <w:sz w:val="24"/>
          <w:szCs w:val="24"/>
        </w:rPr>
        <w:t>2. EĞİTİM (Mezun olduğu üniversite ve sonrası)</w:t>
      </w:r>
    </w:p>
    <w:p w:rsidR="00CB29EE" w:rsidRPr="00852DDE" w:rsidRDefault="00CB29EE" w:rsidP="00CB29EE">
      <w:pPr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00"/>
        <w:gridCol w:w="2700"/>
        <w:gridCol w:w="3600"/>
      </w:tblGrid>
      <w:tr w:rsidR="00CB29EE" w:rsidRPr="00852DDE" w:rsidTr="00CB29E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CB29EE" w:rsidRPr="00852DDE" w:rsidRDefault="00360F37" w:rsidP="00360F37">
            <w:pPr>
              <w:spacing w:before="10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DDE">
              <w:rPr>
                <w:rFonts w:ascii="Arial" w:hAnsi="Arial" w:cs="Arial"/>
                <w:sz w:val="24"/>
                <w:szCs w:val="24"/>
              </w:rPr>
              <w:t>Yılı</w:t>
            </w:r>
          </w:p>
        </w:tc>
        <w:tc>
          <w:tcPr>
            <w:tcW w:w="1800" w:type="dxa"/>
          </w:tcPr>
          <w:p w:rsidR="00CB29EE" w:rsidRPr="00852DDE" w:rsidRDefault="00360F37" w:rsidP="00360F37">
            <w:pPr>
              <w:spacing w:before="10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DDE">
              <w:rPr>
                <w:rFonts w:ascii="Arial" w:hAnsi="Arial" w:cs="Arial"/>
                <w:sz w:val="24"/>
                <w:szCs w:val="24"/>
              </w:rPr>
              <w:t>Derecesi</w:t>
            </w:r>
          </w:p>
        </w:tc>
        <w:tc>
          <w:tcPr>
            <w:tcW w:w="2700" w:type="dxa"/>
          </w:tcPr>
          <w:p w:rsidR="00CB29EE" w:rsidRPr="00852DDE" w:rsidRDefault="00360F37" w:rsidP="00360F37">
            <w:pPr>
              <w:spacing w:before="10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Kurum</w:t>
            </w:r>
          </w:p>
        </w:tc>
        <w:tc>
          <w:tcPr>
            <w:tcW w:w="3600" w:type="dxa"/>
          </w:tcPr>
          <w:p w:rsidR="00CB29EE" w:rsidRPr="00852DDE" w:rsidRDefault="00360F37" w:rsidP="00360F37">
            <w:pPr>
              <w:spacing w:before="100" w:after="100"/>
              <w:ind w:right="8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DDE">
              <w:rPr>
                <w:rFonts w:ascii="Arial" w:hAnsi="Arial" w:cs="Arial"/>
                <w:sz w:val="24"/>
                <w:szCs w:val="24"/>
              </w:rPr>
              <w:t>Öğrenim</w:t>
            </w:r>
            <w:r>
              <w:rPr>
                <w:rFonts w:ascii="Arial" w:hAnsi="Arial" w:cs="Arial"/>
                <w:sz w:val="24"/>
                <w:szCs w:val="24"/>
              </w:rPr>
              <w:t>/Çalışma</w:t>
            </w:r>
            <w:r w:rsidRPr="00852DDE">
              <w:rPr>
                <w:rFonts w:ascii="Arial" w:hAnsi="Arial" w:cs="Arial"/>
                <w:sz w:val="24"/>
                <w:szCs w:val="24"/>
              </w:rPr>
              <w:t xml:space="preserve"> Alanı</w:t>
            </w:r>
          </w:p>
        </w:tc>
      </w:tr>
      <w:tr w:rsidR="00CB29EE" w:rsidRPr="00852DDE" w:rsidTr="00CB29E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CB29EE" w:rsidRPr="00852DDE" w:rsidRDefault="00360F37" w:rsidP="0010092D">
            <w:pPr>
              <w:spacing w:before="100"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800" w:type="dxa"/>
          </w:tcPr>
          <w:p w:rsidR="00CB29EE" w:rsidRPr="00852DDE" w:rsidRDefault="00CB29EE" w:rsidP="0010092D">
            <w:pPr>
              <w:spacing w:before="100" w:after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CB29EE" w:rsidRPr="00852DDE" w:rsidRDefault="00360F37" w:rsidP="0010092D">
            <w:pPr>
              <w:spacing w:before="100"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Eskişehir Osmangazi Ünv.</w:t>
            </w:r>
          </w:p>
        </w:tc>
        <w:tc>
          <w:tcPr>
            <w:tcW w:w="3600" w:type="dxa"/>
          </w:tcPr>
          <w:p w:rsidR="00CB29EE" w:rsidRPr="00852DDE" w:rsidRDefault="00A64223" w:rsidP="001B67EE">
            <w:pPr>
              <w:spacing w:before="100" w:after="100"/>
              <w:ind w:right="8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Tıp Fakültesi</w:t>
            </w:r>
          </w:p>
        </w:tc>
      </w:tr>
      <w:tr w:rsidR="00CB29EE" w:rsidRPr="00852DDE" w:rsidTr="00CB29E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CB29EE" w:rsidRPr="00852DDE" w:rsidRDefault="009D7012" w:rsidP="0010092D">
            <w:pPr>
              <w:spacing w:before="100"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2005-</w:t>
            </w:r>
            <w:r w:rsidR="00360F37"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1800" w:type="dxa"/>
          </w:tcPr>
          <w:p w:rsidR="00CB29EE" w:rsidRPr="00852DDE" w:rsidRDefault="00360F37" w:rsidP="0010092D">
            <w:pPr>
              <w:spacing w:before="100"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Tabip</w:t>
            </w:r>
          </w:p>
        </w:tc>
        <w:tc>
          <w:tcPr>
            <w:tcW w:w="2700" w:type="dxa"/>
          </w:tcPr>
          <w:p w:rsidR="00CB29EE" w:rsidRPr="00852DDE" w:rsidRDefault="00360F37" w:rsidP="0010092D">
            <w:pPr>
              <w:spacing w:before="100"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Erzurum Karayazı Sağlık Ocağı</w:t>
            </w:r>
          </w:p>
        </w:tc>
        <w:tc>
          <w:tcPr>
            <w:tcW w:w="3600" w:type="dxa"/>
          </w:tcPr>
          <w:p w:rsidR="00CB29EE" w:rsidRPr="00852DDE" w:rsidRDefault="0023074E" w:rsidP="001B67EE">
            <w:pPr>
              <w:spacing w:before="100" w:after="100"/>
              <w:ind w:right="8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Tabip</w:t>
            </w:r>
          </w:p>
        </w:tc>
      </w:tr>
      <w:tr w:rsidR="00CB29EE" w:rsidRPr="00852DDE" w:rsidTr="00CB29E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CB29EE" w:rsidRPr="00852DDE" w:rsidRDefault="009D7012" w:rsidP="0010092D">
            <w:pPr>
              <w:spacing w:before="100"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60F37">
              <w:rPr>
                <w:rFonts w:ascii="Arial" w:hAnsi="Arial" w:cs="Arial"/>
                <w:sz w:val="24"/>
                <w:szCs w:val="24"/>
              </w:rPr>
              <w:t>06-2007</w:t>
            </w:r>
          </w:p>
        </w:tc>
        <w:tc>
          <w:tcPr>
            <w:tcW w:w="1800" w:type="dxa"/>
          </w:tcPr>
          <w:p w:rsidR="00CB29EE" w:rsidRPr="00852DDE" w:rsidRDefault="00360F37" w:rsidP="0010092D">
            <w:pPr>
              <w:spacing w:before="100"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Arş. Gör</w:t>
            </w:r>
            <w:r w:rsidR="00AD0D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CB29EE" w:rsidRPr="00852DDE" w:rsidRDefault="00652608" w:rsidP="0010092D">
            <w:pPr>
              <w:spacing w:before="100"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Fırat Ünv</w:t>
            </w:r>
            <w:r w:rsidR="00360F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CB29EE" w:rsidRPr="00852DDE" w:rsidRDefault="00360F37" w:rsidP="001B67EE">
            <w:pPr>
              <w:spacing w:before="100" w:after="100"/>
              <w:ind w:right="8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Tıp fak. Fizyoloji A.D</w:t>
            </w:r>
          </w:p>
        </w:tc>
      </w:tr>
      <w:tr w:rsidR="00F91B42" w:rsidRPr="00852DDE" w:rsidTr="00CB29E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F91B42" w:rsidRDefault="00360F37" w:rsidP="0010092D">
            <w:pPr>
              <w:spacing w:before="100"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2007-2011</w:t>
            </w:r>
          </w:p>
        </w:tc>
        <w:tc>
          <w:tcPr>
            <w:tcW w:w="1800" w:type="dxa"/>
          </w:tcPr>
          <w:p w:rsidR="00F91B42" w:rsidRPr="00852DDE" w:rsidRDefault="00360F37" w:rsidP="0010092D">
            <w:pPr>
              <w:spacing w:before="100"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Arş. Gör</w:t>
            </w:r>
            <w:r w:rsidR="00AD0D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91B42" w:rsidRDefault="00360F37" w:rsidP="0010092D">
            <w:pPr>
              <w:spacing w:before="100"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Eskişehir Osmangazi Ünv.</w:t>
            </w:r>
          </w:p>
        </w:tc>
        <w:tc>
          <w:tcPr>
            <w:tcW w:w="3600" w:type="dxa"/>
          </w:tcPr>
          <w:p w:rsidR="00F91B42" w:rsidRDefault="001B67EE" w:rsidP="001B67EE">
            <w:pPr>
              <w:spacing w:before="100" w:after="100"/>
              <w:ind w:right="8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Tıp Fak. Nükleer Tıp </w:t>
            </w:r>
            <w:r w:rsidR="00360F37">
              <w:rPr>
                <w:rFonts w:ascii="Arial" w:hAnsi="Arial" w:cs="Arial"/>
                <w:sz w:val="24"/>
                <w:szCs w:val="24"/>
              </w:rPr>
              <w:t>A.D</w:t>
            </w:r>
          </w:p>
        </w:tc>
      </w:tr>
      <w:tr w:rsidR="00360F37" w:rsidRPr="00852DDE" w:rsidTr="00CB29E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360F37" w:rsidRDefault="00360F37" w:rsidP="0010092D">
            <w:pPr>
              <w:spacing w:before="100"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2012-2016</w:t>
            </w:r>
          </w:p>
        </w:tc>
        <w:tc>
          <w:tcPr>
            <w:tcW w:w="1800" w:type="dxa"/>
          </w:tcPr>
          <w:p w:rsidR="00360F37" w:rsidRDefault="00360F37" w:rsidP="0010092D">
            <w:pPr>
              <w:spacing w:before="100"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Uzm. Tabip</w:t>
            </w:r>
          </w:p>
        </w:tc>
        <w:tc>
          <w:tcPr>
            <w:tcW w:w="2700" w:type="dxa"/>
          </w:tcPr>
          <w:p w:rsidR="00360F37" w:rsidRDefault="00360F37" w:rsidP="0010092D">
            <w:pPr>
              <w:spacing w:before="100"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Elazığ Eğt.-Araş. Hastanesi</w:t>
            </w:r>
          </w:p>
        </w:tc>
        <w:tc>
          <w:tcPr>
            <w:tcW w:w="3600" w:type="dxa"/>
          </w:tcPr>
          <w:p w:rsidR="00360F37" w:rsidRDefault="00360F37" w:rsidP="001B67EE">
            <w:pPr>
              <w:spacing w:before="100" w:after="100"/>
              <w:ind w:right="8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Nükleer Tıp</w:t>
            </w:r>
          </w:p>
        </w:tc>
      </w:tr>
      <w:tr w:rsidR="00360F37" w:rsidRPr="00852DDE" w:rsidTr="00CB29E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360F37" w:rsidRDefault="00360F37" w:rsidP="0010092D">
            <w:pPr>
              <w:spacing w:before="100"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2016-2019</w:t>
            </w:r>
          </w:p>
        </w:tc>
        <w:tc>
          <w:tcPr>
            <w:tcW w:w="1800" w:type="dxa"/>
          </w:tcPr>
          <w:p w:rsidR="00360F37" w:rsidRDefault="00360F37" w:rsidP="0010092D">
            <w:pPr>
              <w:spacing w:before="100"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Yard. Doç.</w:t>
            </w:r>
            <w:r w:rsidR="0056730F">
              <w:rPr>
                <w:rFonts w:ascii="Arial" w:hAnsi="Arial" w:cs="Arial"/>
                <w:sz w:val="24"/>
                <w:szCs w:val="24"/>
              </w:rPr>
              <w:t xml:space="preserve"> Dr.</w:t>
            </w:r>
          </w:p>
        </w:tc>
        <w:tc>
          <w:tcPr>
            <w:tcW w:w="2700" w:type="dxa"/>
          </w:tcPr>
          <w:p w:rsidR="00360F37" w:rsidRDefault="00652608" w:rsidP="0010092D">
            <w:pPr>
              <w:spacing w:before="100"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Fırat Ünv</w:t>
            </w:r>
            <w:r w:rsidR="00360F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360F37" w:rsidRDefault="001B67EE" w:rsidP="001B67EE">
            <w:pPr>
              <w:spacing w:before="100" w:after="100"/>
              <w:ind w:right="8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Tıp Fak. Nükleer Tıp </w:t>
            </w:r>
            <w:r w:rsidR="00360F37">
              <w:rPr>
                <w:rFonts w:ascii="Arial" w:hAnsi="Arial" w:cs="Arial"/>
                <w:sz w:val="24"/>
                <w:szCs w:val="24"/>
              </w:rPr>
              <w:t>A.D</w:t>
            </w:r>
          </w:p>
        </w:tc>
      </w:tr>
      <w:tr w:rsidR="00360F37" w:rsidRPr="00852DDE" w:rsidTr="00CB29E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360F37" w:rsidRDefault="00360F37" w:rsidP="0010092D">
            <w:pPr>
              <w:spacing w:before="100"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2019-halen</w:t>
            </w:r>
          </w:p>
        </w:tc>
        <w:tc>
          <w:tcPr>
            <w:tcW w:w="1800" w:type="dxa"/>
          </w:tcPr>
          <w:p w:rsidR="00360F37" w:rsidRDefault="00360F37" w:rsidP="0010092D">
            <w:pPr>
              <w:spacing w:before="100"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Dr.Öğr. Üye./Doç. Dr</w:t>
            </w:r>
            <w:r w:rsidR="00AD0D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360F37" w:rsidRDefault="00360F37" w:rsidP="0010092D">
            <w:pPr>
              <w:spacing w:before="100"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Pamukkale Ünv.</w:t>
            </w:r>
          </w:p>
        </w:tc>
        <w:tc>
          <w:tcPr>
            <w:tcW w:w="3600" w:type="dxa"/>
          </w:tcPr>
          <w:p w:rsidR="00360F37" w:rsidRDefault="001B67EE" w:rsidP="001B67EE">
            <w:pPr>
              <w:spacing w:before="100" w:after="100"/>
              <w:ind w:right="8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Tıp Fak. Nükleer Tıp </w:t>
            </w:r>
            <w:r w:rsidR="00360F37">
              <w:rPr>
                <w:rFonts w:ascii="Arial" w:hAnsi="Arial" w:cs="Arial"/>
                <w:sz w:val="24"/>
                <w:szCs w:val="24"/>
              </w:rPr>
              <w:t>A.D</w:t>
            </w:r>
          </w:p>
        </w:tc>
      </w:tr>
    </w:tbl>
    <w:p w:rsidR="00CB29EE" w:rsidRPr="009414CB" w:rsidRDefault="00CB29EE" w:rsidP="00CB29EE">
      <w:pPr>
        <w:rPr>
          <w:rFonts w:ascii="Arial" w:hAnsi="Arial" w:cs="Arial"/>
          <w:b/>
          <w:sz w:val="24"/>
          <w:szCs w:val="24"/>
        </w:rPr>
      </w:pPr>
    </w:p>
    <w:p w:rsidR="00A07A40" w:rsidRDefault="002E1F56" w:rsidP="009414CB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İngilizce</w:t>
      </w:r>
      <w:r w:rsidR="005C2CA5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YDS Sonbahar 2014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: </w:t>
      </w:r>
      <w:r w:rsidR="005C2CA5" w:rsidRPr="005C2CA5">
        <w:rPr>
          <w:rFonts w:ascii="Times New Roman" w:eastAsia="Times New Roman" w:hAnsi="Times New Roman"/>
          <w:sz w:val="24"/>
          <w:szCs w:val="24"/>
          <w:lang w:eastAsia="tr-TR"/>
        </w:rPr>
        <w:t xml:space="preserve">90 </w:t>
      </w:r>
    </w:p>
    <w:p w:rsidR="00360F37" w:rsidRDefault="00360F37" w:rsidP="009414CB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35B59">
        <w:rPr>
          <w:rFonts w:ascii="Times New Roman" w:eastAsia="Times New Roman" w:hAnsi="Times New Roman"/>
          <w:b/>
          <w:sz w:val="24"/>
          <w:szCs w:val="24"/>
          <w:lang w:eastAsia="tr-TR"/>
        </w:rPr>
        <w:t>Uluslararası hakemli dergilerde yayımlanan makaleler:</w:t>
      </w:r>
    </w:p>
    <w:p w:rsidR="009042D5" w:rsidRDefault="00741098" w:rsidP="00741098">
      <w:pPr>
        <w:shd w:val="clear" w:color="auto" w:fill="FFFFFF"/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741098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S</w:t>
      </w:r>
      <w:r w:rsidR="009042D5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imsek FS, Yuksel D, Yaylali O. et al. Can PET/CT be used more effectively in pleural effusion evaluation?. Jpn J Radiol (2021). </w:t>
      </w:r>
      <w:hyperlink r:id="rId5" w:history="1">
        <w:r w:rsidR="009042D5" w:rsidRPr="00100E86">
          <w:rPr>
            <w:rFonts w:ascii="Times New Roman" w:hAnsi="Times New Roman"/>
            <w:color w:val="000000"/>
            <w:sz w:val="24"/>
            <w:szCs w:val="24"/>
            <w:lang w:eastAsia="tr-TR"/>
          </w:rPr>
          <w:t>https://doi.org/10.1007/s11604-021-01155-z</w:t>
        </w:r>
      </w:hyperlink>
      <w:r w:rsidR="00D6255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.</w:t>
      </w:r>
    </w:p>
    <w:p w:rsidR="00D62550" w:rsidRPr="00100E86" w:rsidRDefault="00D62550" w:rsidP="00D62550">
      <w:pPr>
        <w:shd w:val="clear" w:color="auto" w:fill="FFFFFF"/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lastRenderedPageBreak/>
        <w:t>2.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A07A4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Simsek FS, Cakmak M, Kuslu D, Balci TA, In E, Ozercan IH, Narin Y. How can we Use PET/ CT More Accurately for Characterization of Asbestos-related Pleural Thickening? </w:t>
      </w:r>
      <w:hyperlink r:id="rId6" w:history="1">
        <w:r w:rsidRPr="00A07A40">
          <w:rPr>
            <w:rFonts w:ascii="Times New Roman" w:hAnsi="Times New Roman"/>
            <w:color w:val="000000"/>
            <w:sz w:val="24"/>
            <w:szCs w:val="24"/>
            <w:lang w:eastAsia="tr-TR"/>
          </w:rPr>
          <w:t xml:space="preserve"> Archives of Medical Science DOI: https://doi.org/10.5114/aoms/111529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.</w:t>
      </w:r>
    </w:p>
    <w:p w:rsidR="00311272" w:rsidRPr="00100E86" w:rsidRDefault="00D62550" w:rsidP="00100E86">
      <w:pPr>
        <w:shd w:val="clear" w:color="auto" w:fill="FFFFFF"/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3</w:t>
      </w:r>
      <w:r w:rsidR="00311272"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="0031127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Uğurlu E, Çetin N, Yiğit N, Aydoğmuş Ü, Akbudak İH, Şenol H, Şimşek FS, Altınışık G.</w:t>
      </w:r>
      <w:hyperlink r:id="rId7" w:history="1">
        <w:r w:rsidR="00311272" w:rsidRPr="00100E86">
          <w:rPr>
            <w:rFonts w:ascii="Times New Roman" w:eastAsia="Times New Roman" w:hAnsi="Times New Roman"/>
            <w:color w:val="000000"/>
            <w:sz w:val="24"/>
            <w:szCs w:val="24"/>
            <w:lang w:eastAsia="tr-TR"/>
          </w:rPr>
          <w:t xml:space="preserve"> A retrospective evaluation of the pulmonary function tests and quality of life assessment surveys of emphysema patients subject to coil treatment.</w:t>
        </w:r>
      </w:hyperlink>
      <w:r w:rsidR="0031127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Tuberk Toraks. 2020 Dec;68(4):399-406.</w:t>
      </w:r>
    </w:p>
    <w:p w:rsidR="00A145E6" w:rsidRPr="00100E86" w:rsidRDefault="00D62550" w:rsidP="00100E86">
      <w:pPr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4</w:t>
      </w:r>
      <w:r w:rsidR="00A145E6"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="00A145E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Simsek FS, Balci TA, Donder Y, Ugur K, Kilinc F.</w:t>
      </w:r>
      <w:r w:rsidR="00AC7290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hyperlink r:id="rId8" w:history="1">
        <w:r w:rsidR="00A145E6" w:rsidRPr="00100E86">
          <w:rPr>
            <w:rFonts w:ascii="Times New Roman" w:eastAsia="Times New Roman" w:hAnsi="Times New Roman"/>
            <w:color w:val="000000"/>
            <w:sz w:val="24"/>
            <w:szCs w:val="24"/>
            <w:lang w:eastAsia="tr-TR"/>
          </w:rPr>
          <w:t>How Important is the Timing of Radioiodine Ablation in Differentiated Thyroidal Carcinomas: A Referral Centre Experience.</w:t>
        </w:r>
      </w:hyperlink>
      <w:r w:rsidR="00A145E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Rev Esp Med Nucl Imagen Mol. 2020 May-Jun;39(3):157-162.</w:t>
      </w:r>
    </w:p>
    <w:p w:rsidR="00311272" w:rsidRDefault="00D62550" w:rsidP="00100E86">
      <w:pPr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5</w:t>
      </w:r>
      <w:r w:rsidR="00360F37"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9414C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Sımsek F</w:t>
      </w:r>
      <w:r w:rsidR="00EC4733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</w:t>
      </w:r>
      <w:r w:rsidR="009414C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</w:t>
      </w:r>
      <w:r w:rsidR="00135B59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9414C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Çomak A,</w:t>
      </w:r>
      <w:r w:rsidR="00135B59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9414C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Asık M,</w:t>
      </w:r>
      <w:r w:rsidR="00135B59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9414C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Kuslu D,</w:t>
      </w:r>
      <w:r w:rsidR="00135B59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9414C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Balcı T</w:t>
      </w:r>
      <w:r w:rsidR="00EC4733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</w:t>
      </w:r>
      <w:r w:rsidR="009414C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</w:t>
      </w:r>
      <w:r w:rsidR="00135B59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9414C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Ulutas H,</w:t>
      </w:r>
      <w:r w:rsidR="00135B59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9414C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Köroglu R,</w:t>
      </w:r>
      <w:r w:rsidR="00135B59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9414C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Kekıllı E,</w:t>
      </w:r>
      <w:r w:rsidR="00135B59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9414C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Akatlı A,</w:t>
      </w:r>
      <w:r w:rsidR="00135B59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9414C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Elmalı F,</w:t>
      </w:r>
      <w:r w:rsidR="00135B59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9414C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Çavusoglu Y</w:t>
      </w:r>
      <w:r w:rsidR="00EC4733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N</w:t>
      </w:r>
      <w:r w:rsidR="009414C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</w:t>
      </w:r>
      <w:r w:rsidR="00135B59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9414C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Akyol Hadice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(2020). Is FDG?PET/CT Used Correctly in the</w:t>
      </w:r>
      <w:r w:rsidR="009414C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Combined Approach for Nodal Staging in NSCLC Patients</w:t>
      </w:r>
      <w:r w:rsidR="009414C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?. Nigerian Journal of Clinical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Practice,</w:t>
      </w:r>
      <w:r w:rsidR="00862A8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23(6), 842-8473. </w:t>
      </w:r>
    </w:p>
    <w:p w:rsidR="004C034C" w:rsidRDefault="004C034C" w:rsidP="004C034C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6</w:t>
      </w:r>
      <w:r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Köroglu R, Köksal I, Sımsek FS, Gezer F, Kekıllı E, Ünal B (2017). Considering the relationship between quantitative parameters and prognostic factors in breast cancer: Can mean standardized uptake value be an alternative to maximum standardized uptake value?. World Journal of Nuclear Medicine, 16(4), 275, Doi: 10.4103/1450- 1147.215485 </w:t>
      </w:r>
    </w:p>
    <w:p w:rsidR="004D0021" w:rsidRDefault="004C034C" w:rsidP="004D0021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7</w:t>
      </w:r>
      <w:r w:rsidR="004D0021"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="004D0021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Demır F, Balcı TA, Sımsek FS, Demır M (2020). Comparison of GFR Values Measured with Different Methods and the Relative Renal Functions in Patients with Proven or Suspected Obstructive Uropathy. Turkish journal of nephrology 29(3), 190-195. </w:t>
      </w:r>
    </w:p>
    <w:p w:rsidR="0040672A" w:rsidRPr="00100E86" w:rsidRDefault="0040672A" w:rsidP="0040672A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8</w:t>
      </w:r>
      <w:r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Demır F, Balcı TA, Sımsek FS (2019). The Role of Pre-ablative Stimulated Thyroglobulin and Thyroglobulin/Thyroid-Stimulating Hormone Ratio for Predicting Metastasis in Thyroid Cancer. Molecular Imaging and Radionuclide Therapy, 28(1), 21-26. </w:t>
      </w:r>
    </w:p>
    <w:p w:rsidR="0040672A" w:rsidRPr="00100E86" w:rsidRDefault="0040672A" w:rsidP="004D0021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51796A" w:rsidRPr="00100E86" w:rsidRDefault="004C034C" w:rsidP="00100E86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lastRenderedPageBreak/>
        <w:t>8</w:t>
      </w:r>
      <w:r w:rsidR="00311272"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="0031127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Sımsek F</w:t>
      </w:r>
      <w:r w:rsidR="00353AB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 Köroglu R, Elmalı F, Çomak A, Ulutas H, Balcı</w:t>
      </w:r>
      <w:r w:rsidR="00862A8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</w:t>
      </w:r>
      <w:r w:rsidR="00353AB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, Asık M, Akatlı A, Kekıllı E, Öner AO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(2020). Is it</w:t>
      </w:r>
      <w:r w:rsidR="00862A8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possible to achieve more accurate mediastinal nodal radiotherapy planning for NSCLC with</w:t>
      </w:r>
      <w:r w:rsidR="00862A8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PET/CT?.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Journal </w:t>
      </w:r>
      <w:r w:rsidR="00167A3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of t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he Pakıstan Medıcal Assocıatıon, 70(1), 29-34.</w:t>
      </w:r>
    </w:p>
    <w:p w:rsidR="00360F37" w:rsidRPr="00100E86" w:rsidRDefault="0051796A" w:rsidP="00100E86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9</w:t>
      </w:r>
      <w:r w:rsidR="00360F37"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Sımsek F</w:t>
      </w:r>
      <w:r w:rsidR="00353AB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</w:t>
      </w:r>
      <w:r w:rsidR="00BD27E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Balcı T</w:t>
      </w:r>
      <w:r w:rsidR="00353AB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</w:t>
      </w:r>
      <w:r w:rsidR="00B141B1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Dönder Y,</w:t>
      </w:r>
      <w:r w:rsidR="00353AB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Ugur K, Kılınç F,</w:t>
      </w:r>
      <w:r w:rsidR="00353AB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Çetınkaya Z,</w:t>
      </w:r>
      <w:r w:rsidR="00353AB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Üstündag B,</w:t>
      </w:r>
      <w:r w:rsidR="00353AB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Özercan I</w:t>
      </w:r>
      <w:r w:rsidR="00353AB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H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</w:t>
      </w:r>
      <w:r w:rsidR="00353ABB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Elmalı F (2019).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The importance in diagnosing patients with conflicting observational data for post surgery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radioiodinate</w:t>
      </w:r>
      <w:r w:rsidR="00BB306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 ablation of thyroid remnants.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Hellenic Journal of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Nuclear Medicine, 22(1), 58-63.</w:t>
      </w:r>
    </w:p>
    <w:p w:rsidR="004D0021" w:rsidRPr="00100E86" w:rsidRDefault="004D0021" w:rsidP="004D0021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10</w:t>
      </w:r>
      <w:r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Sımsek FS, Arslan M, Dag Y (2019). An exceptional group of nonsmall cell lung cancer difficult to diagnose: Evaluation of lipid-poor adrenal lesions. Bosnian Journal of Basic Medical Sciences, 20(19(2)), 195-200</w:t>
      </w:r>
    </w:p>
    <w:p w:rsidR="00360F37" w:rsidRPr="00100E86" w:rsidRDefault="004D0021" w:rsidP="00100E86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11</w:t>
      </w:r>
      <w:r w:rsidR="00360F37"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Tasdemır B,</w:t>
      </w:r>
      <w:r w:rsidR="009042D5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Orakçı Z,</w:t>
      </w:r>
      <w:r w:rsidR="009042D5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Dostbıl Z,</w:t>
      </w:r>
      <w:r w:rsidR="009042D5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Ünal K,</w:t>
      </w:r>
      <w:r w:rsidR="009042D5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Sımsek FS,</w:t>
      </w:r>
      <w:r w:rsidR="009042D5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Teke</w:t>
      </w:r>
      <w:r w:rsidR="00862A8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F,</w:t>
      </w:r>
      <w:r w:rsidR="009042D5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Goya C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(2016). Effectiveness of the addition of brain region to the FDG PET CT imaging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area in patients with suspected or diagnosed lung cancer. La radiologia medica, 121(3), 218-224.</w:t>
      </w:r>
    </w:p>
    <w:p w:rsidR="00360F37" w:rsidRPr="00100E86" w:rsidRDefault="004D0021" w:rsidP="00100E86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12</w:t>
      </w:r>
      <w:r w:rsidR="00360F37"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Sımsek FS, Ispıroglu M, 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Tasdemır B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 Köroglu R, Ünal</w:t>
      </w:r>
      <w:r w:rsidR="00862A8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K, Özercan IH, Entok E, 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Kuslu D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, Karabulut K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(2015). What</w:t>
      </w:r>
      <w:r w:rsidR="00862A8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approach should we take for the incidental finding of increased 18F-FDG uptake foci in the colon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on PET/CT?. Nuclear Medicine Communications, 3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6(12), 1195-1201.</w:t>
      </w:r>
    </w:p>
    <w:p w:rsidR="00360F37" w:rsidRPr="00100E86" w:rsidRDefault="00311272" w:rsidP="00100E86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1</w:t>
      </w:r>
      <w:r w:rsidR="004D0021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3</w:t>
      </w:r>
      <w:r w:rsidR="00360F37"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Tasdemır B,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Dostbıl Z,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İnal A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,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Ünal K,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Yıldırım S,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Sımsek FS</w:t>
      </w:r>
      <w:r w:rsidR="00862A8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(2014). Evaluation of Clinical Contributions Provided by Ad</w:t>
      </w:r>
      <w:r w:rsidR="00862A8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dition of the Brain, Calvarium,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and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Scalp to the Limited Whole Body Imaging Ar</w:t>
      </w:r>
      <w:r w:rsidR="00862A8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ea in FDG-PET/CT Tumor Imaging.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BioMed Research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International, 2014(2014), 1-5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.</w:t>
      </w:r>
    </w:p>
    <w:p w:rsidR="00360F37" w:rsidRPr="00100E86" w:rsidRDefault="00311272" w:rsidP="00100E86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1</w:t>
      </w:r>
      <w:r w:rsidR="004D0021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4</w:t>
      </w:r>
      <w:r w:rsidR="00360F37"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Sıvrıkoz M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C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Ak Sıvrıkoz I,</w:t>
      </w:r>
      <w:r w:rsidR="00DA79C4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Sımsek F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Döner</w:t>
      </w:r>
      <w:r w:rsidR="00862A8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E,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Dündar E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(2012). Is Mediastinoscopy Still the Gold Standard to Evaluate</w:t>
      </w:r>
      <w:r w:rsidR="00862A8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Mediastinal Lymph Nodes in Patients with Non-Small Cel</w:t>
      </w:r>
      <w:r w:rsidR="00862A8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l Lung Carcinoma?. The Thoracic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and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Cardiovascular Surgeon, 60(02), 116-121</w:t>
      </w:r>
      <w:r w:rsidR="00507DA6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.</w:t>
      </w:r>
    </w:p>
    <w:p w:rsidR="00E1723F" w:rsidRPr="00100E86" w:rsidRDefault="004D0021" w:rsidP="00100E86">
      <w:pPr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lastRenderedPageBreak/>
        <w:t>16</w:t>
      </w:r>
      <w:r w:rsidR="00E13A95"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="00E13A95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Simsek FS, Dag Y. </w:t>
      </w:r>
      <w:hyperlink r:id="rId9" w:history="1">
        <w:r w:rsidR="00E13A95" w:rsidRPr="00100E86">
          <w:rPr>
            <w:rFonts w:ascii="Times New Roman" w:eastAsia="Times New Roman" w:hAnsi="Times New Roman"/>
            <w:color w:val="000000"/>
            <w:sz w:val="24"/>
            <w:szCs w:val="24"/>
            <w:lang w:eastAsia="tr-TR"/>
          </w:rPr>
          <w:t>Transthoracic Biopsy Causes Massive Subcutaneous Emphysema in a Low Risk Patient.</w:t>
        </w:r>
      </w:hyperlink>
      <w:r w:rsidR="00E1723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E13A95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.J Clin Diagn Res. 2016 Nov;10(11):TD01-TD02.</w:t>
      </w:r>
    </w:p>
    <w:p w:rsidR="00E1723F" w:rsidRPr="00100E86" w:rsidRDefault="004D0021" w:rsidP="00100E86">
      <w:pPr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17</w:t>
      </w:r>
      <w:r w:rsidR="00E1723F"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="00E1723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Simsek FS, Akarsu S, Narin Y. </w:t>
      </w:r>
      <w:hyperlink r:id="rId10" w:history="1">
        <w:r w:rsidR="00E1723F" w:rsidRPr="00100E86">
          <w:rPr>
            <w:rFonts w:ascii="Times New Roman" w:eastAsia="Times New Roman" w:hAnsi="Times New Roman"/>
            <w:color w:val="000000"/>
            <w:sz w:val="24"/>
            <w:szCs w:val="24"/>
            <w:lang w:eastAsia="tr-TR"/>
          </w:rPr>
          <w:t>Can we differentiate malignant peripheral nerve sheath tumor from benign neurofibroma without invasive sampling.</w:t>
        </w:r>
      </w:hyperlink>
      <w:r w:rsidR="00E1723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World J Nucl Med. 2019 Jan-Mar;18(1):66-68.</w:t>
      </w:r>
    </w:p>
    <w:p w:rsidR="00A14AF9" w:rsidRPr="00100E86" w:rsidRDefault="004D0021" w:rsidP="00100E86">
      <w:pPr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18</w:t>
      </w:r>
      <w:r w:rsidR="00A14AF9"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="00A14AF9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Simsek FS, Cayir MC, Arslan M, Yuksel D.</w:t>
      </w:r>
      <w:hyperlink r:id="rId11" w:history="1">
        <w:r w:rsidR="00A14AF9" w:rsidRPr="00100E86">
          <w:rPr>
            <w:rFonts w:ascii="Times New Roman" w:eastAsia="Times New Roman" w:hAnsi="Times New Roman"/>
            <w:color w:val="000000"/>
            <w:sz w:val="24"/>
            <w:szCs w:val="24"/>
            <w:lang w:eastAsia="tr-TR"/>
          </w:rPr>
          <w:t>Can 18Fluoro-deoxy-glukose-Positron Emission Tomography/Computed Tomography be a Useful for Decision of Elective Surgery in Thoracic Aortic Aneurysm.</w:t>
        </w:r>
      </w:hyperlink>
      <w:r w:rsidR="00A14AF9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Indian J Nucl Med. 2021 Jul-Sep;36(3):307-309. </w:t>
      </w:r>
    </w:p>
    <w:p w:rsidR="002C5F87" w:rsidRPr="00100E86" w:rsidRDefault="004D0021" w:rsidP="00100E86">
      <w:pPr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19</w:t>
      </w:r>
      <w:r w:rsidR="002C5F87"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="002C5F8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Ugur K, Girgin M, Bahcecioglu İH, Artas H, Selcuk Simsek F, Aydin S. </w:t>
      </w:r>
      <w:hyperlink r:id="rId12" w:history="1">
        <w:r w:rsidR="002C5F87" w:rsidRPr="00100E86">
          <w:rPr>
            <w:rFonts w:ascii="Times New Roman" w:eastAsia="Times New Roman" w:hAnsi="Times New Roman"/>
            <w:color w:val="000000"/>
            <w:sz w:val="24"/>
            <w:szCs w:val="24"/>
            <w:lang w:eastAsia="tr-TR"/>
          </w:rPr>
          <w:t>An unusual case of hematemesis and epistaxis caused by a pheochromocytoma.</w:t>
        </w:r>
      </w:hyperlink>
      <w:r w:rsidR="002C5F8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J Int Med Res. 2018 Jun;46(6):2470-2473.</w:t>
      </w:r>
    </w:p>
    <w:p w:rsidR="004D0021" w:rsidRDefault="004D0021" w:rsidP="00100E86">
      <w:pPr>
        <w:spacing w:line="48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360F37" w:rsidRPr="00100E86" w:rsidRDefault="00C63B7E" w:rsidP="00100E86">
      <w:pPr>
        <w:spacing w:line="48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0E86">
        <w:rPr>
          <w:rFonts w:ascii="Times New Roman" w:eastAsia="Times New Roman" w:hAnsi="Times New Roman"/>
          <w:b/>
          <w:sz w:val="24"/>
          <w:szCs w:val="24"/>
          <w:lang w:eastAsia="tr-TR"/>
        </w:rPr>
        <w:t>B</w:t>
      </w:r>
      <w:r w:rsidR="00360F37" w:rsidRPr="00100E86">
        <w:rPr>
          <w:rFonts w:ascii="Times New Roman" w:eastAsia="Times New Roman" w:hAnsi="Times New Roman"/>
          <w:b/>
          <w:sz w:val="24"/>
          <w:szCs w:val="24"/>
          <w:lang w:eastAsia="tr-TR"/>
        </w:rPr>
        <w:t>. Yazılan ulusal/uluslararası kitaplar veya kitaplardaki bölümler:</w:t>
      </w:r>
    </w:p>
    <w:p w:rsidR="00C63B7E" w:rsidRPr="00100E86" w:rsidRDefault="00C63B7E" w:rsidP="00100E86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1.</w:t>
      </w:r>
      <w:r w:rsid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Çocuk Gögüs Cerrahisi, Bölüm adı:(Çocuklardaki Torasik Patolojilerde Konvansiyonel Sintigrafik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862A8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Tetkikler ve PET/BT) (2018).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862A8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Sımsek </w:t>
      </w:r>
      <w:r w:rsidR="00881725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F</w:t>
      </w:r>
      <w:r w:rsidR="00E30A4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</w:t>
      </w:r>
      <w:r w:rsidR="00862A8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 Balcı T</w:t>
      </w:r>
      <w:r w:rsidR="00E30A4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</w:t>
      </w:r>
      <w:r w:rsidR="00862A8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.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Akademisyen,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Editör:</w:t>
      </w:r>
      <w:r w:rsidR="00E30A4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Prof. Dr. Akın Eraslan Balcı, Prof. Dr. Mustafa Yüksel, Basım sayısı:1, ISBN:978-605-258-223-7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.</w:t>
      </w:r>
    </w:p>
    <w:p w:rsidR="004D0021" w:rsidRDefault="004D0021" w:rsidP="00100E86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360F37" w:rsidRPr="00100E86" w:rsidRDefault="00C63B7E" w:rsidP="00100E86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0E86">
        <w:rPr>
          <w:rFonts w:ascii="Times New Roman" w:eastAsia="Times New Roman" w:hAnsi="Times New Roman"/>
          <w:b/>
          <w:sz w:val="24"/>
          <w:szCs w:val="24"/>
          <w:lang w:eastAsia="tr-TR"/>
        </w:rPr>
        <w:t>C</w:t>
      </w:r>
      <w:r w:rsidR="00360F37" w:rsidRPr="00100E86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. Ulusal hakemli dergilerde yayımlanan </w:t>
      </w:r>
      <w:r w:rsidRPr="00100E86">
        <w:rPr>
          <w:rFonts w:ascii="Times New Roman" w:eastAsia="Times New Roman" w:hAnsi="Times New Roman"/>
          <w:b/>
          <w:sz w:val="24"/>
          <w:szCs w:val="24"/>
          <w:lang w:eastAsia="tr-TR"/>
        </w:rPr>
        <w:t>makaleler:</w:t>
      </w:r>
    </w:p>
    <w:p w:rsidR="00360F37" w:rsidRPr="00100E86" w:rsidRDefault="00360F37" w:rsidP="00100E86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1.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C63B7E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Sımsek F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</w:t>
      </w:r>
      <w:r w:rsidR="00C63B7E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 Kuslu D,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C63B7E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Balcı TA,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C63B7E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Ugur K,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C63B7E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Koç ZP, Artas H, Özercan IH, Narın Y 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(2019). How should we approach</w:t>
      </w:r>
      <w:r w:rsidR="00C63B7E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thyroidal incidentalomas detected on FDG-PET/ CT imaging?. Annals of Medical Research, 26(9),</w:t>
      </w:r>
      <w:r w:rsidR="00C63B7E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1997-2001.</w:t>
      </w:r>
    </w:p>
    <w:p w:rsidR="009E6826" w:rsidRPr="00100E86" w:rsidRDefault="009E6826" w:rsidP="00100E86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2</w:t>
      </w:r>
      <w:r w:rsidR="00360F37"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Sımsek FS, Kuloglu T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(2015). P</w:t>
      </w:r>
      <w:r w:rsidR="00862A8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ET BT Uygulamasının Sıçan Beyin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Dokusunda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Trpm2 Ve Apoptozis Üzerine Etkileri. Fırat Tıp Dergisi, 20(4), 189-194. </w:t>
      </w:r>
    </w:p>
    <w:p w:rsidR="00360F37" w:rsidRPr="00100E86" w:rsidRDefault="009E6826" w:rsidP="00100E86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3</w:t>
      </w:r>
      <w:r w:rsidR="00360F37"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Kocaman N</w:t>
      </w:r>
      <w:r w:rsidR="00862A8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, Sımsek FS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(2015). Radyasyon Uygulamasının Sıçan Uterus Dokuları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Üzerine Etkileri. Fırat Üniversitesi Saglık Bilimleri Tıp Dergisi, 29(3), 103-108. </w:t>
      </w:r>
    </w:p>
    <w:p w:rsidR="00360F37" w:rsidRPr="00100E86" w:rsidRDefault="009E6826" w:rsidP="00100E86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lastRenderedPageBreak/>
        <w:t>4</w:t>
      </w:r>
      <w:r w:rsidR="00360F37"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Sımsek FS, Kocaman N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(2015). Iyonize Radyasyon Uygulamasının Sıçan</w:t>
      </w:r>
      <w:r w:rsidR="00862A8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Karaciger Dokularında Ghrelin Ekspresyonu Üzerine Etkileri. Fırat Tıp Dergisi, 20(2), 75-80.</w:t>
      </w:r>
    </w:p>
    <w:p w:rsidR="00360F37" w:rsidRPr="00100E86" w:rsidRDefault="009E6826" w:rsidP="00100E86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5</w:t>
      </w:r>
      <w:r w:rsidR="00360F37"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.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Sımsek FS, Entok E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(2015). Primeri Bilinmeyen Kanserlerde Primer Odak</w:t>
      </w:r>
      <w:r w:rsidR="00862A82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360F37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Tespitinde PET/ BT nın Etkinligi. Fırat Tıp Dergisi, 20(1), 33-36. </w:t>
      </w:r>
    </w:p>
    <w:p w:rsidR="008E1F1E" w:rsidRPr="009414CB" w:rsidRDefault="008E1F1E" w:rsidP="00100E86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100E8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6.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Ugur K, 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Balcı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TA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 Karataş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A, 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Aydın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U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 Kılınç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F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 Aydın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S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 Akkoç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RF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 Şimşek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FS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 Ayaz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G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 Pehlivan</w:t>
      </w:r>
      <w:r w:rsidR="002B320F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V</w:t>
      </w:r>
      <w:r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. Diyabetik Ayak Hastalarında Anksiyete-Depresyon Bozuk</w:t>
      </w:r>
      <w:r w:rsidR="00786AB8" w:rsidRPr="00100E8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luğu ve Kemik Mineral Yoğunluğu. Fırat Tıp Dergisi/Firat M</w:t>
      </w:r>
      <w:r w:rsidR="00786AB8" w:rsidRPr="00786AB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ed J 2021; 26(3): 165-170</w:t>
      </w:r>
      <w:r w:rsidR="00786AB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.</w:t>
      </w:r>
    </w:p>
    <w:sectPr w:rsidR="008E1F1E" w:rsidRPr="00941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CBB"/>
    <w:multiLevelType w:val="hybridMultilevel"/>
    <w:tmpl w:val="11B8FB8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5DF3"/>
    <w:multiLevelType w:val="hybridMultilevel"/>
    <w:tmpl w:val="49304A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B3102"/>
    <w:multiLevelType w:val="hybridMultilevel"/>
    <w:tmpl w:val="01F801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06523"/>
    <w:multiLevelType w:val="multilevel"/>
    <w:tmpl w:val="65BC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004FF"/>
    <w:multiLevelType w:val="hybridMultilevel"/>
    <w:tmpl w:val="E4B0B2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27A3B"/>
    <w:multiLevelType w:val="hybridMultilevel"/>
    <w:tmpl w:val="4D2609BE"/>
    <w:lvl w:ilvl="0" w:tplc="AD18F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4027F"/>
    <w:multiLevelType w:val="hybridMultilevel"/>
    <w:tmpl w:val="86E6BFBE"/>
    <w:lvl w:ilvl="0" w:tplc="AF643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EE"/>
    <w:rsid w:val="00025240"/>
    <w:rsid w:val="000460BB"/>
    <w:rsid w:val="0004672B"/>
    <w:rsid w:val="0006685B"/>
    <w:rsid w:val="000A388E"/>
    <w:rsid w:val="000A696F"/>
    <w:rsid w:val="000C0D80"/>
    <w:rsid w:val="000C2E36"/>
    <w:rsid w:val="000D7C31"/>
    <w:rsid w:val="000E2893"/>
    <w:rsid w:val="000F7D50"/>
    <w:rsid w:val="0010092D"/>
    <w:rsid w:val="00100E86"/>
    <w:rsid w:val="00111161"/>
    <w:rsid w:val="0012564A"/>
    <w:rsid w:val="001340C7"/>
    <w:rsid w:val="00135B59"/>
    <w:rsid w:val="00151A08"/>
    <w:rsid w:val="00166436"/>
    <w:rsid w:val="00167A3F"/>
    <w:rsid w:val="00191E3E"/>
    <w:rsid w:val="00195FCE"/>
    <w:rsid w:val="00197DD3"/>
    <w:rsid w:val="001B67EE"/>
    <w:rsid w:val="001E28FE"/>
    <w:rsid w:val="001E43B2"/>
    <w:rsid w:val="00216288"/>
    <w:rsid w:val="00227FAE"/>
    <w:rsid w:val="0023074E"/>
    <w:rsid w:val="00234D29"/>
    <w:rsid w:val="00254C20"/>
    <w:rsid w:val="0026341E"/>
    <w:rsid w:val="00273565"/>
    <w:rsid w:val="0029282C"/>
    <w:rsid w:val="002A0BAD"/>
    <w:rsid w:val="002A673D"/>
    <w:rsid w:val="002B10FF"/>
    <w:rsid w:val="002B320F"/>
    <w:rsid w:val="002C14A5"/>
    <w:rsid w:val="002C3280"/>
    <w:rsid w:val="002C5F87"/>
    <w:rsid w:val="002E1F56"/>
    <w:rsid w:val="002F0205"/>
    <w:rsid w:val="0030236D"/>
    <w:rsid w:val="00311272"/>
    <w:rsid w:val="00324F91"/>
    <w:rsid w:val="00325BDB"/>
    <w:rsid w:val="003308C5"/>
    <w:rsid w:val="00335B0C"/>
    <w:rsid w:val="00335D9E"/>
    <w:rsid w:val="00346F8E"/>
    <w:rsid w:val="00353ABB"/>
    <w:rsid w:val="00360F37"/>
    <w:rsid w:val="003803EC"/>
    <w:rsid w:val="00385ABD"/>
    <w:rsid w:val="00390BE5"/>
    <w:rsid w:val="003A45AD"/>
    <w:rsid w:val="003B43B4"/>
    <w:rsid w:val="003F258E"/>
    <w:rsid w:val="0040672A"/>
    <w:rsid w:val="00437E72"/>
    <w:rsid w:val="00440053"/>
    <w:rsid w:val="00442D1F"/>
    <w:rsid w:val="00450629"/>
    <w:rsid w:val="004543DE"/>
    <w:rsid w:val="004564A0"/>
    <w:rsid w:val="0046294E"/>
    <w:rsid w:val="00465B60"/>
    <w:rsid w:val="00474536"/>
    <w:rsid w:val="00490278"/>
    <w:rsid w:val="00496721"/>
    <w:rsid w:val="004A7A77"/>
    <w:rsid w:val="004A7F77"/>
    <w:rsid w:val="004C034C"/>
    <w:rsid w:val="004C25BF"/>
    <w:rsid w:val="004D0021"/>
    <w:rsid w:val="004D35CC"/>
    <w:rsid w:val="004E1E10"/>
    <w:rsid w:val="004E300A"/>
    <w:rsid w:val="004E6533"/>
    <w:rsid w:val="00507DA6"/>
    <w:rsid w:val="0051103D"/>
    <w:rsid w:val="0051535A"/>
    <w:rsid w:val="0051796A"/>
    <w:rsid w:val="00521F04"/>
    <w:rsid w:val="00522AC2"/>
    <w:rsid w:val="00542830"/>
    <w:rsid w:val="00546410"/>
    <w:rsid w:val="00561F53"/>
    <w:rsid w:val="0056730F"/>
    <w:rsid w:val="00582A6A"/>
    <w:rsid w:val="005A0BB4"/>
    <w:rsid w:val="005A1113"/>
    <w:rsid w:val="005A61F1"/>
    <w:rsid w:val="005C2CA5"/>
    <w:rsid w:val="005E338A"/>
    <w:rsid w:val="005E345F"/>
    <w:rsid w:val="005E730D"/>
    <w:rsid w:val="005F5779"/>
    <w:rsid w:val="00600D7F"/>
    <w:rsid w:val="00610866"/>
    <w:rsid w:val="00614BB1"/>
    <w:rsid w:val="00616147"/>
    <w:rsid w:val="00633904"/>
    <w:rsid w:val="00652608"/>
    <w:rsid w:val="00654624"/>
    <w:rsid w:val="006556F3"/>
    <w:rsid w:val="00657C3F"/>
    <w:rsid w:val="00697D6C"/>
    <w:rsid w:val="006D27C1"/>
    <w:rsid w:val="006D3CDB"/>
    <w:rsid w:val="006E22A8"/>
    <w:rsid w:val="006E3A0B"/>
    <w:rsid w:val="006F3AA3"/>
    <w:rsid w:val="0070021A"/>
    <w:rsid w:val="00704B62"/>
    <w:rsid w:val="0071505F"/>
    <w:rsid w:val="00722178"/>
    <w:rsid w:val="00723CE3"/>
    <w:rsid w:val="007254DA"/>
    <w:rsid w:val="00727547"/>
    <w:rsid w:val="00741098"/>
    <w:rsid w:val="00754DB0"/>
    <w:rsid w:val="00757800"/>
    <w:rsid w:val="00762D37"/>
    <w:rsid w:val="00780D27"/>
    <w:rsid w:val="00783F9D"/>
    <w:rsid w:val="00786AB8"/>
    <w:rsid w:val="00792EB3"/>
    <w:rsid w:val="007D0FF9"/>
    <w:rsid w:val="007F2AE5"/>
    <w:rsid w:val="007F60EB"/>
    <w:rsid w:val="0081192F"/>
    <w:rsid w:val="008275DB"/>
    <w:rsid w:val="00851552"/>
    <w:rsid w:val="00852DDE"/>
    <w:rsid w:val="00857F5E"/>
    <w:rsid w:val="00862829"/>
    <w:rsid w:val="00862A82"/>
    <w:rsid w:val="008715DD"/>
    <w:rsid w:val="00881725"/>
    <w:rsid w:val="00884A58"/>
    <w:rsid w:val="008A3A21"/>
    <w:rsid w:val="008A6CF5"/>
    <w:rsid w:val="008E1F1E"/>
    <w:rsid w:val="00903C39"/>
    <w:rsid w:val="009042D5"/>
    <w:rsid w:val="00907412"/>
    <w:rsid w:val="00912061"/>
    <w:rsid w:val="009328CF"/>
    <w:rsid w:val="00936C78"/>
    <w:rsid w:val="00941072"/>
    <w:rsid w:val="009414CB"/>
    <w:rsid w:val="00953B03"/>
    <w:rsid w:val="0097220A"/>
    <w:rsid w:val="00985003"/>
    <w:rsid w:val="00993FA2"/>
    <w:rsid w:val="009A1FBF"/>
    <w:rsid w:val="009B445A"/>
    <w:rsid w:val="009D7012"/>
    <w:rsid w:val="009E6826"/>
    <w:rsid w:val="009F0673"/>
    <w:rsid w:val="00A032E7"/>
    <w:rsid w:val="00A07A40"/>
    <w:rsid w:val="00A145E6"/>
    <w:rsid w:val="00A14AF9"/>
    <w:rsid w:val="00A3310C"/>
    <w:rsid w:val="00A36932"/>
    <w:rsid w:val="00A420AD"/>
    <w:rsid w:val="00A4353E"/>
    <w:rsid w:val="00A45456"/>
    <w:rsid w:val="00A64223"/>
    <w:rsid w:val="00A74B2D"/>
    <w:rsid w:val="00A95854"/>
    <w:rsid w:val="00AA0A06"/>
    <w:rsid w:val="00AB4CC8"/>
    <w:rsid w:val="00AC3CDA"/>
    <w:rsid w:val="00AC7290"/>
    <w:rsid w:val="00AD0D66"/>
    <w:rsid w:val="00AD20FF"/>
    <w:rsid w:val="00AD6277"/>
    <w:rsid w:val="00AE7CE5"/>
    <w:rsid w:val="00AF611C"/>
    <w:rsid w:val="00B046BC"/>
    <w:rsid w:val="00B127E1"/>
    <w:rsid w:val="00B13004"/>
    <w:rsid w:val="00B131D4"/>
    <w:rsid w:val="00B1340B"/>
    <w:rsid w:val="00B141B1"/>
    <w:rsid w:val="00B204A7"/>
    <w:rsid w:val="00B33BDE"/>
    <w:rsid w:val="00B43F55"/>
    <w:rsid w:val="00B57533"/>
    <w:rsid w:val="00B640DD"/>
    <w:rsid w:val="00B66393"/>
    <w:rsid w:val="00B76E51"/>
    <w:rsid w:val="00B810D2"/>
    <w:rsid w:val="00B9299B"/>
    <w:rsid w:val="00B94A92"/>
    <w:rsid w:val="00BA0E74"/>
    <w:rsid w:val="00BB3063"/>
    <w:rsid w:val="00BB3363"/>
    <w:rsid w:val="00BD27EF"/>
    <w:rsid w:val="00BE1047"/>
    <w:rsid w:val="00BF6F22"/>
    <w:rsid w:val="00C072D9"/>
    <w:rsid w:val="00C3052C"/>
    <w:rsid w:val="00C34438"/>
    <w:rsid w:val="00C37B10"/>
    <w:rsid w:val="00C63B7E"/>
    <w:rsid w:val="00C8165F"/>
    <w:rsid w:val="00C86F96"/>
    <w:rsid w:val="00C87D75"/>
    <w:rsid w:val="00CB19D4"/>
    <w:rsid w:val="00CB29EE"/>
    <w:rsid w:val="00CB59B5"/>
    <w:rsid w:val="00CB7D42"/>
    <w:rsid w:val="00CC2FFB"/>
    <w:rsid w:val="00CE1C3D"/>
    <w:rsid w:val="00D0238F"/>
    <w:rsid w:val="00D30D36"/>
    <w:rsid w:val="00D52BFF"/>
    <w:rsid w:val="00D609BD"/>
    <w:rsid w:val="00D62550"/>
    <w:rsid w:val="00D74742"/>
    <w:rsid w:val="00DA79C4"/>
    <w:rsid w:val="00DB0D89"/>
    <w:rsid w:val="00DD138A"/>
    <w:rsid w:val="00DE56C6"/>
    <w:rsid w:val="00E0399C"/>
    <w:rsid w:val="00E135BC"/>
    <w:rsid w:val="00E13A95"/>
    <w:rsid w:val="00E13C25"/>
    <w:rsid w:val="00E1723F"/>
    <w:rsid w:val="00E20882"/>
    <w:rsid w:val="00E25452"/>
    <w:rsid w:val="00E30A43"/>
    <w:rsid w:val="00E43D57"/>
    <w:rsid w:val="00E636E2"/>
    <w:rsid w:val="00E765FD"/>
    <w:rsid w:val="00E860AD"/>
    <w:rsid w:val="00EA4EFC"/>
    <w:rsid w:val="00EA6790"/>
    <w:rsid w:val="00EB1432"/>
    <w:rsid w:val="00EC4733"/>
    <w:rsid w:val="00EC7958"/>
    <w:rsid w:val="00EF74AD"/>
    <w:rsid w:val="00F1765D"/>
    <w:rsid w:val="00F91B42"/>
    <w:rsid w:val="00F97E2C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12502-C8B3-4C6B-810E-1504DDB1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9EE"/>
    <w:pPr>
      <w:ind w:firstLine="340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2">
    <w:name w:val="Body Text 2"/>
    <w:basedOn w:val="Normal"/>
    <w:rsid w:val="00CB29EE"/>
    <w:pPr>
      <w:ind w:firstLine="0"/>
      <w:jc w:val="center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character" w:styleId="Kpr">
    <w:name w:val="Hyperlink"/>
    <w:rsid w:val="006556F3"/>
    <w:rPr>
      <w:strike w:val="0"/>
      <w:dstrike w:val="0"/>
      <w:color w:val="5A597B"/>
      <w:sz w:val="24"/>
      <w:szCs w:val="24"/>
      <w:u w:val="none"/>
    </w:rPr>
  </w:style>
  <w:style w:type="character" w:customStyle="1" w:styleId="authors-list-item">
    <w:name w:val="authors-list-item"/>
    <w:rsid w:val="006556F3"/>
  </w:style>
  <w:style w:type="character" w:customStyle="1" w:styleId="author-sup-separator">
    <w:name w:val="author-sup-separator"/>
    <w:rsid w:val="006556F3"/>
  </w:style>
  <w:style w:type="character" w:customStyle="1" w:styleId="comma">
    <w:name w:val="comma"/>
    <w:rsid w:val="006556F3"/>
  </w:style>
  <w:style w:type="character" w:customStyle="1" w:styleId="author">
    <w:name w:val="author"/>
    <w:rsid w:val="00F97E2C"/>
  </w:style>
  <w:style w:type="character" w:customStyle="1" w:styleId="docsum-authors">
    <w:name w:val="docsum-authors"/>
    <w:rsid w:val="00311272"/>
  </w:style>
  <w:style w:type="character" w:customStyle="1" w:styleId="docsum-journal-citation">
    <w:name w:val="docsum-journal-citation"/>
    <w:rsid w:val="0031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198235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3448737/" TargetMode="External"/><Relationship Id="rId12" Type="http://schemas.openxmlformats.org/officeDocument/2006/relationships/hyperlink" Target="https://pubmed.ncbi.nlm.nih.gov/295783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ilgii&#351;lem\Desktop\Downloads\Archives%20of%20Medical%20Science%20DOI:%20https:\doi.org\10.5114\aoms\111529" TargetMode="External"/><Relationship Id="rId11" Type="http://schemas.openxmlformats.org/officeDocument/2006/relationships/hyperlink" Target="https://pubmed.ncbi.nlm.nih.gov/34658557/" TargetMode="External"/><Relationship Id="rId5" Type="http://schemas.openxmlformats.org/officeDocument/2006/relationships/hyperlink" Target="https://doi.org/10.1007/s11604-021-01155-z" TargetMode="External"/><Relationship Id="rId10" Type="http://schemas.openxmlformats.org/officeDocument/2006/relationships/hyperlink" Target="https://pubmed.ncbi.nlm.nih.gov/307745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2805047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</vt:lpstr>
    </vt:vector>
  </TitlesOfParts>
  <Company>Pamukkale Ünv.</Company>
  <LinksUpToDate>false</LinksUpToDate>
  <CharactersWithSpaces>7518</CharactersWithSpaces>
  <SharedDoc>false</SharedDoc>
  <HLinks>
    <vt:vector size="48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https://pubmed.ncbi.nlm.nih.gov/29578356/</vt:lpwstr>
      </vt:variant>
      <vt:variant>
        <vt:lpwstr/>
      </vt:variant>
      <vt:variant>
        <vt:i4>589839</vt:i4>
      </vt:variant>
      <vt:variant>
        <vt:i4>18</vt:i4>
      </vt:variant>
      <vt:variant>
        <vt:i4>0</vt:i4>
      </vt:variant>
      <vt:variant>
        <vt:i4>5</vt:i4>
      </vt:variant>
      <vt:variant>
        <vt:lpwstr>https://pubmed.ncbi.nlm.nih.gov/34658557/</vt:lpwstr>
      </vt:variant>
      <vt:variant>
        <vt:lpwstr/>
      </vt:variant>
      <vt:variant>
        <vt:i4>589826</vt:i4>
      </vt:variant>
      <vt:variant>
        <vt:i4>15</vt:i4>
      </vt:variant>
      <vt:variant>
        <vt:i4>0</vt:i4>
      </vt:variant>
      <vt:variant>
        <vt:i4>5</vt:i4>
      </vt:variant>
      <vt:variant>
        <vt:lpwstr>https://pubmed.ncbi.nlm.nih.gov/30774551/</vt:lpwstr>
      </vt:variant>
      <vt:variant>
        <vt:lpwstr/>
      </vt:variant>
      <vt:variant>
        <vt:i4>262146</vt:i4>
      </vt:variant>
      <vt:variant>
        <vt:i4>12</vt:i4>
      </vt:variant>
      <vt:variant>
        <vt:i4>0</vt:i4>
      </vt:variant>
      <vt:variant>
        <vt:i4>5</vt:i4>
      </vt:variant>
      <vt:variant>
        <vt:lpwstr>https://pubmed.ncbi.nlm.nih.gov/28050477/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https://pubmed.ncbi.nlm.nih.gov/31982352/</vt:lpwstr>
      </vt:variant>
      <vt:variant>
        <vt:lpwstr/>
      </vt:variant>
      <vt:variant>
        <vt:i4>851979</vt:i4>
      </vt:variant>
      <vt:variant>
        <vt:i4>6</vt:i4>
      </vt:variant>
      <vt:variant>
        <vt:i4>0</vt:i4>
      </vt:variant>
      <vt:variant>
        <vt:i4>5</vt:i4>
      </vt:variant>
      <vt:variant>
        <vt:lpwstr>https://pubmed.ncbi.nlm.nih.gov/33448737/</vt:lpwstr>
      </vt:variant>
      <vt:variant>
        <vt:lpwstr/>
      </vt:variant>
      <vt:variant>
        <vt:i4>22413376</vt:i4>
      </vt:variant>
      <vt:variant>
        <vt:i4>3</vt:i4>
      </vt:variant>
      <vt:variant>
        <vt:i4>0</vt:i4>
      </vt:variant>
      <vt:variant>
        <vt:i4>5</vt:i4>
      </vt:variant>
      <vt:variant>
        <vt:lpwstr>../Downloads/Archives of Medical Science DOI: https:/doi.org/10.5114/aoms/111529</vt:lpwstr>
      </vt:variant>
      <vt:variant>
        <vt:lpwstr/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https://doi.org/10.1007/s11604-021-01155-z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subject/>
  <dc:creator>Pau</dc:creator>
  <cp:keywords/>
  <dc:description/>
  <cp:revision>2</cp:revision>
  <dcterms:created xsi:type="dcterms:W3CDTF">2021-12-03T13:11:00Z</dcterms:created>
  <dcterms:modified xsi:type="dcterms:W3CDTF">2021-12-03T13:11:00Z</dcterms:modified>
</cp:coreProperties>
</file>