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C2" w:rsidRPr="00E3202E" w:rsidRDefault="003F686C">
      <w:pPr>
        <w:rPr>
          <w:rFonts w:ascii="Times New Roman" w:hAnsi="Times New Roman" w:cs="Times New Roman"/>
          <w:b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24BC2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>Name: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B24BC2" w:rsidRPr="00E3202E">
        <w:rPr>
          <w:rFonts w:ascii="Times New Roman" w:hAnsi="Times New Roman" w:cs="Times New Roman"/>
          <w:sz w:val="24"/>
          <w:szCs w:val="24"/>
        </w:rPr>
        <w:t xml:space="preserve">Neşe Çallı </w:t>
      </w:r>
      <w:proofErr w:type="spellStart"/>
      <w:r w:rsidR="00E3202E">
        <w:rPr>
          <w:rFonts w:ascii="Times New Roman" w:hAnsi="Times New Roman" w:cs="Times New Roman"/>
          <w:sz w:val="24"/>
          <w:szCs w:val="24"/>
        </w:rPr>
        <w:t>D</w:t>
      </w:r>
      <w:r w:rsidR="00B24BC2" w:rsidRPr="00E3202E">
        <w:rPr>
          <w:rFonts w:ascii="Times New Roman" w:hAnsi="Times New Roman" w:cs="Times New Roman"/>
          <w:sz w:val="24"/>
          <w:szCs w:val="24"/>
        </w:rPr>
        <w:t>emirkan</w:t>
      </w:r>
      <w:proofErr w:type="spellEnd"/>
    </w:p>
    <w:p w:rsidR="00B24BC2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: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B24BC2" w:rsidRPr="00E3202E">
        <w:rPr>
          <w:rFonts w:ascii="Times New Roman" w:hAnsi="Times New Roman" w:cs="Times New Roman"/>
          <w:sz w:val="24"/>
          <w:szCs w:val="24"/>
        </w:rPr>
        <w:t>ndemirkan@pau.edu.tr</w:t>
      </w:r>
    </w:p>
    <w:p w:rsidR="00B24BC2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Citizenship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5A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Titles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Affiliations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:</w:t>
      </w:r>
      <w:r w:rsidRPr="00E320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appointments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: 20</w:t>
      </w:r>
      <w:r w:rsidR="00EA335A" w:rsidRPr="00E3202E">
        <w:rPr>
          <w:rFonts w:ascii="Times New Roman" w:hAnsi="Times New Roman" w:cs="Times New Roman"/>
          <w:sz w:val="24"/>
          <w:szCs w:val="24"/>
        </w:rPr>
        <w:t>0</w:t>
      </w:r>
      <w:r w:rsidRPr="00E3202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r w:rsidR="00EA335A" w:rsidRPr="00E3202E">
        <w:rPr>
          <w:rFonts w:ascii="Times New Roman" w:hAnsi="Times New Roman" w:cs="Times New Roman"/>
          <w:sz w:val="24"/>
          <w:szCs w:val="24"/>
        </w:rPr>
        <w:t xml:space="preserve">Pamukkale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, Denizli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 , </w:t>
      </w:r>
      <w:r w:rsidRPr="00E3202E">
        <w:rPr>
          <w:rFonts w:ascii="Times New Roman" w:hAnsi="Times New Roman" w:cs="Times New Roman"/>
          <w:sz w:val="24"/>
          <w:szCs w:val="24"/>
        </w:rPr>
        <w:t xml:space="preserve"> 200</w:t>
      </w:r>
      <w:r w:rsidR="00EA335A" w:rsidRPr="00E3202E">
        <w:rPr>
          <w:rFonts w:ascii="Times New Roman" w:hAnsi="Times New Roman" w:cs="Times New Roman"/>
          <w:sz w:val="24"/>
          <w:szCs w:val="24"/>
        </w:rPr>
        <w:t>2</w:t>
      </w:r>
      <w:r w:rsidRPr="00E3202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Docent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Yuksek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Ogretim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Kurumu (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), Ankara,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, 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EA335A" w:rsidRPr="00E3202E">
        <w:rPr>
          <w:rFonts w:ascii="Times New Roman" w:hAnsi="Times New Roman" w:cs="Times New Roman"/>
          <w:sz w:val="24"/>
          <w:szCs w:val="24"/>
        </w:rPr>
        <w:t>1997</w:t>
      </w:r>
      <w:r w:rsidRPr="00E3202E">
        <w:rPr>
          <w:rFonts w:ascii="Times New Roman" w:hAnsi="Times New Roman" w:cs="Times New Roman"/>
          <w:sz w:val="24"/>
          <w:szCs w:val="24"/>
        </w:rPr>
        <w:t xml:space="preserve"> - 200</w:t>
      </w:r>
      <w:r w:rsidR="00EA335A" w:rsidRPr="00E3202E">
        <w:rPr>
          <w:rFonts w:ascii="Times New Roman" w:hAnsi="Times New Roman" w:cs="Times New Roman"/>
          <w:sz w:val="24"/>
          <w:szCs w:val="24"/>
        </w:rPr>
        <w:t>2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,  Pamukkale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, Denizli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Pr="00E3202E">
        <w:rPr>
          <w:rFonts w:ascii="Times New Roman" w:hAnsi="Times New Roman" w:cs="Times New Roman"/>
          <w:sz w:val="24"/>
          <w:szCs w:val="24"/>
        </w:rPr>
        <w:t>, 199</w:t>
      </w:r>
      <w:r w:rsidR="00EA335A" w:rsidRPr="00E3202E">
        <w:rPr>
          <w:rFonts w:ascii="Times New Roman" w:hAnsi="Times New Roman" w:cs="Times New Roman"/>
          <w:sz w:val="24"/>
          <w:szCs w:val="24"/>
        </w:rPr>
        <w:t>6</w:t>
      </w:r>
      <w:r w:rsidRPr="00E3202E">
        <w:rPr>
          <w:rFonts w:ascii="Times New Roman" w:hAnsi="Times New Roman" w:cs="Times New Roman"/>
          <w:sz w:val="24"/>
          <w:szCs w:val="24"/>
        </w:rPr>
        <w:t xml:space="preserve"> – </w:t>
      </w:r>
      <w:r w:rsidR="00EA335A" w:rsidRPr="00E3202E">
        <w:rPr>
          <w:rFonts w:ascii="Times New Roman" w:hAnsi="Times New Roman" w:cs="Times New Roman"/>
          <w:sz w:val="24"/>
          <w:szCs w:val="24"/>
        </w:rPr>
        <w:t>1997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r w:rsidR="00EA335A" w:rsidRPr="00E3202E">
        <w:rPr>
          <w:rFonts w:ascii="Times New Roman" w:hAnsi="Times New Roman" w:cs="Times New Roman"/>
          <w:sz w:val="24"/>
          <w:szCs w:val="24"/>
        </w:rPr>
        <w:t xml:space="preserve">Pamukkale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, Denizli </w:t>
      </w:r>
      <w:proofErr w:type="spellStart"/>
      <w:r w:rsidR="00EA335A"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EA335A" w:rsidRPr="00E3202E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24BC2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Licensures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Boards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:</w:t>
      </w:r>
      <w:r w:rsidRPr="00E3202E">
        <w:rPr>
          <w:rFonts w:ascii="Times New Roman" w:hAnsi="Times New Roman" w:cs="Times New Roman"/>
          <w:sz w:val="24"/>
          <w:szCs w:val="24"/>
        </w:rPr>
        <w:t xml:space="preserve"> 1989 Standard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(ECFMG # 433769-7) 1992 Standard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(FLEX, 650822008) 1993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Indiana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Board 1996 Diplomat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Board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(Board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Anatomic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) 1996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Michigan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Board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2008 Georgia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Board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Examiners</w:t>
      </w:r>
      <w:proofErr w:type="spellEnd"/>
    </w:p>
    <w:p w:rsidR="00B24BC2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Specialty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Boards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:</w:t>
      </w:r>
      <w:r w:rsidRPr="00E3202E">
        <w:rPr>
          <w:rFonts w:ascii="Times New Roman" w:hAnsi="Times New Roman" w:cs="Times New Roman"/>
          <w:sz w:val="24"/>
          <w:szCs w:val="24"/>
        </w:rPr>
        <w:t xml:space="preserve"> April, 199</w:t>
      </w:r>
      <w:r w:rsidR="00AB32FB" w:rsidRPr="00E3202E">
        <w:rPr>
          <w:rFonts w:ascii="Times New Roman" w:hAnsi="Times New Roman" w:cs="Times New Roman"/>
          <w:sz w:val="24"/>
          <w:szCs w:val="24"/>
        </w:rPr>
        <w:t>5</w:t>
      </w:r>
      <w:r w:rsidRPr="00E3202E">
        <w:rPr>
          <w:rFonts w:ascii="Times New Roman" w:hAnsi="Times New Roman" w:cs="Times New Roman"/>
          <w:sz w:val="24"/>
          <w:szCs w:val="24"/>
        </w:rPr>
        <w:t xml:space="preserve"> “Patoloji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Uzmanlik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Belgesi,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Turkiye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Cumhuriyeti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Saglik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Bakanligi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)</w:t>
      </w:r>
      <w:r w:rsidR="00E3202E"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2E" w:rsidRPr="00E3202E">
        <w:rPr>
          <w:rFonts w:ascii="Times New Roman" w:hAnsi="Times New Roman" w:cs="Times New Roman"/>
          <w:b/>
          <w:sz w:val="24"/>
          <w:szCs w:val="24"/>
        </w:rPr>
        <w:t>Specialty</w:t>
      </w:r>
      <w:proofErr w:type="spellEnd"/>
      <w:r w:rsidR="00E3202E"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2E" w:rsidRPr="00E3202E">
        <w:rPr>
          <w:rFonts w:ascii="Times New Roman" w:hAnsi="Times New Roman" w:cs="Times New Roman"/>
          <w:b/>
          <w:sz w:val="24"/>
          <w:szCs w:val="24"/>
        </w:rPr>
        <w:t>Interest</w:t>
      </w:r>
      <w:proofErr w:type="spellEnd"/>
      <w:r w:rsidR="00E3202E" w:rsidRPr="00E320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202E" w:rsidRPr="00E3202E">
        <w:rPr>
          <w:rFonts w:ascii="Times New Roman" w:hAnsi="Times New Roman" w:cs="Times New Roman"/>
          <w:sz w:val="24"/>
          <w:szCs w:val="24"/>
        </w:rPr>
        <w:t>Dermatopathology</w:t>
      </w:r>
      <w:proofErr w:type="spellEnd"/>
      <w:r w:rsidR="00E3202E"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02E" w:rsidRPr="00E3202E">
        <w:rPr>
          <w:rFonts w:ascii="Times New Roman" w:hAnsi="Times New Roman" w:cs="Times New Roman"/>
          <w:sz w:val="24"/>
          <w:szCs w:val="24"/>
        </w:rPr>
        <w:t>Gastroenteropancreatobiler</w:t>
      </w:r>
      <w:proofErr w:type="spellEnd"/>
      <w:r w:rsidR="00E3202E"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02E"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="00E3202E"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02E" w:rsidRPr="00E3202E">
        <w:rPr>
          <w:rFonts w:ascii="Times New Roman" w:hAnsi="Times New Roman" w:cs="Times New Roman"/>
          <w:sz w:val="24"/>
          <w:szCs w:val="24"/>
        </w:rPr>
        <w:t>hepatopathology</w:t>
      </w:r>
      <w:proofErr w:type="spellEnd"/>
    </w:p>
    <w:p w:rsidR="00AB32FB" w:rsidRPr="00E3202E" w:rsidRDefault="003F686C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>:</w:t>
      </w:r>
      <w:r w:rsidRPr="00E3202E">
        <w:rPr>
          <w:rFonts w:ascii="Times New Roman" w:hAnsi="Times New Roman" w:cs="Times New Roman"/>
          <w:sz w:val="24"/>
          <w:szCs w:val="24"/>
        </w:rPr>
        <w:t xml:space="preserve"> 197</w:t>
      </w:r>
      <w:r w:rsidR="00EA335A" w:rsidRPr="00E3202E">
        <w:rPr>
          <w:rFonts w:ascii="Times New Roman" w:hAnsi="Times New Roman" w:cs="Times New Roman"/>
          <w:sz w:val="24"/>
          <w:szCs w:val="24"/>
        </w:rPr>
        <w:t>5</w:t>
      </w:r>
      <w:r w:rsidRPr="00E3202E">
        <w:rPr>
          <w:rFonts w:ascii="Times New Roman" w:hAnsi="Times New Roman" w:cs="Times New Roman"/>
          <w:sz w:val="24"/>
          <w:szCs w:val="24"/>
        </w:rPr>
        <w:t xml:space="preserve"> - 198</w:t>
      </w:r>
      <w:r w:rsidR="00EA335A" w:rsidRPr="00E3202E">
        <w:rPr>
          <w:rFonts w:ascii="Times New Roman" w:hAnsi="Times New Roman" w:cs="Times New Roman"/>
          <w:sz w:val="24"/>
          <w:szCs w:val="24"/>
        </w:rPr>
        <w:t>3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:</w:t>
      </w:r>
      <w:r w:rsidR="00EA335A" w:rsidRPr="00E3202E">
        <w:rPr>
          <w:rFonts w:ascii="Times New Roman" w:hAnsi="Times New Roman" w:cs="Times New Roman"/>
          <w:sz w:val="24"/>
          <w:szCs w:val="24"/>
        </w:rPr>
        <w:t xml:space="preserve"> Galatasaray Lisesi</w:t>
      </w:r>
      <w:r w:rsidRPr="00E3202E">
        <w:rPr>
          <w:rFonts w:ascii="Times New Roman" w:hAnsi="Times New Roman" w:cs="Times New Roman"/>
          <w:sz w:val="24"/>
          <w:szCs w:val="24"/>
        </w:rPr>
        <w:t xml:space="preserve"> , </w:t>
      </w:r>
      <w:r w:rsidR="00EA335A" w:rsidRPr="00E3202E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AB32FB" w:rsidRPr="00E3202E">
        <w:rPr>
          <w:rFonts w:ascii="Times New Roman" w:hAnsi="Times New Roman" w:cs="Times New Roman"/>
          <w:sz w:val="24"/>
          <w:szCs w:val="24"/>
        </w:rPr>
        <w:t xml:space="preserve">. </w:t>
      </w:r>
      <w:r w:rsidRPr="00E320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utilize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FB" w:rsidRPr="00E3202E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)</w:t>
      </w:r>
      <w:r w:rsidR="00AB32FB" w:rsidRPr="00E3202E">
        <w:rPr>
          <w:rFonts w:ascii="Times New Roman" w:hAnsi="Times New Roman" w:cs="Times New Roman"/>
          <w:sz w:val="24"/>
          <w:szCs w:val="24"/>
        </w:rPr>
        <w:t>,</w:t>
      </w:r>
      <w:r w:rsidRPr="00E3202E">
        <w:rPr>
          <w:rFonts w:ascii="Times New Roman" w:hAnsi="Times New Roman" w:cs="Times New Roman"/>
          <w:sz w:val="24"/>
          <w:szCs w:val="24"/>
        </w:rPr>
        <w:t xml:space="preserve"> 198</w:t>
      </w:r>
      <w:r w:rsidR="00AB32FB" w:rsidRPr="00E3202E">
        <w:rPr>
          <w:rFonts w:ascii="Times New Roman" w:hAnsi="Times New Roman" w:cs="Times New Roman"/>
          <w:sz w:val="24"/>
          <w:szCs w:val="24"/>
        </w:rPr>
        <w:t>3</w:t>
      </w:r>
      <w:r w:rsidRPr="00E3202E">
        <w:rPr>
          <w:rFonts w:ascii="Times New Roman" w:hAnsi="Times New Roman" w:cs="Times New Roman"/>
          <w:sz w:val="24"/>
          <w:szCs w:val="24"/>
        </w:rPr>
        <w:t xml:space="preserve"> - 198</w:t>
      </w:r>
      <w:r w:rsidR="00AB32FB" w:rsidRPr="00E3202E">
        <w:rPr>
          <w:rFonts w:ascii="Times New Roman" w:hAnsi="Times New Roman" w:cs="Times New Roman"/>
          <w:sz w:val="24"/>
          <w:szCs w:val="24"/>
        </w:rPr>
        <w:t>9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AB32FB" w:rsidRPr="00E3202E">
        <w:rPr>
          <w:rFonts w:ascii="Times New Roman" w:hAnsi="Times New Roman" w:cs="Times New Roman"/>
          <w:sz w:val="24"/>
          <w:szCs w:val="24"/>
        </w:rPr>
        <w:t>Ege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r w:rsidR="00AB32FB" w:rsidRPr="00E3202E">
        <w:rPr>
          <w:rFonts w:ascii="Times New Roman" w:hAnsi="Times New Roman" w:cs="Times New Roman"/>
          <w:sz w:val="24"/>
          <w:szCs w:val="24"/>
        </w:rPr>
        <w:t>İzmir</w:t>
      </w:r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: MD –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AB32FB" w:rsidRPr="00E3202E">
        <w:rPr>
          <w:rFonts w:ascii="Times New Roman" w:hAnsi="Times New Roman" w:cs="Times New Roman"/>
          <w:sz w:val="24"/>
          <w:szCs w:val="24"/>
        </w:rPr>
        <w:t>,</w:t>
      </w:r>
      <w:r w:rsidRPr="00E3202E">
        <w:rPr>
          <w:rFonts w:ascii="Times New Roman" w:hAnsi="Times New Roman" w:cs="Times New Roman"/>
          <w:sz w:val="24"/>
          <w:szCs w:val="24"/>
        </w:rPr>
        <w:t xml:space="preserve"> 19</w:t>
      </w:r>
      <w:r w:rsidR="00AB32FB" w:rsidRPr="00E3202E">
        <w:rPr>
          <w:rFonts w:ascii="Times New Roman" w:hAnsi="Times New Roman" w:cs="Times New Roman"/>
          <w:sz w:val="24"/>
          <w:szCs w:val="24"/>
        </w:rPr>
        <w:t>90</w:t>
      </w:r>
      <w:r w:rsidRPr="00E3202E">
        <w:rPr>
          <w:rFonts w:ascii="Times New Roman" w:hAnsi="Times New Roman" w:cs="Times New Roman"/>
          <w:sz w:val="24"/>
          <w:szCs w:val="24"/>
        </w:rPr>
        <w:t xml:space="preserve"> - 199</w:t>
      </w:r>
      <w:r w:rsidR="00AB32FB" w:rsidRPr="00E3202E">
        <w:rPr>
          <w:rFonts w:ascii="Times New Roman" w:hAnsi="Times New Roman" w:cs="Times New Roman"/>
          <w:sz w:val="24"/>
          <w:szCs w:val="24"/>
        </w:rPr>
        <w:t>4</w:t>
      </w:r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Anatomic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 </w:t>
      </w:r>
      <w:r w:rsidR="00AB32FB" w:rsidRPr="00E3202E">
        <w:rPr>
          <w:rFonts w:ascii="Times New Roman" w:hAnsi="Times New Roman" w:cs="Times New Roman"/>
          <w:sz w:val="24"/>
          <w:szCs w:val="24"/>
        </w:rPr>
        <w:t xml:space="preserve"> , CHU </w:t>
      </w:r>
      <w:proofErr w:type="spellStart"/>
      <w:r w:rsidR="00AB32FB" w:rsidRPr="00E3202E">
        <w:rPr>
          <w:rFonts w:ascii="Times New Roman" w:hAnsi="Times New Roman" w:cs="Times New Roman"/>
          <w:sz w:val="24"/>
          <w:szCs w:val="24"/>
        </w:rPr>
        <w:t>Amiens</w:t>
      </w:r>
      <w:proofErr w:type="spellEnd"/>
      <w:r w:rsidR="00AB32FB" w:rsidRPr="00E3202E">
        <w:rPr>
          <w:rFonts w:ascii="Times New Roman" w:hAnsi="Times New Roman" w:cs="Times New Roman"/>
          <w:sz w:val="24"/>
          <w:szCs w:val="24"/>
        </w:rPr>
        <w:t xml:space="preserve">,1998-1999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 xml:space="preserve">, </w:t>
      </w:r>
      <w:r w:rsidR="00AB32FB" w:rsidRPr="00E3202E">
        <w:rPr>
          <w:rFonts w:ascii="Times New Roman" w:hAnsi="Times New Roman" w:cs="Times New Roman"/>
          <w:sz w:val="24"/>
          <w:szCs w:val="24"/>
        </w:rPr>
        <w:t xml:space="preserve">Ege </w:t>
      </w:r>
      <w:proofErr w:type="spellStart"/>
      <w:r w:rsidR="00AB32FB" w:rsidRPr="00E3202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B32FB" w:rsidRPr="00E3202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3202E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="00AB32FB" w:rsidRPr="00E3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FB" w:rsidRPr="00E3202E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AB32FB" w:rsidRPr="00E3202E">
        <w:rPr>
          <w:rFonts w:ascii="Times New Roman" w:hAnsi="Times New Roman" w:cs="Times New Roman"/>
          <w:sz w:val="24"/>
          <w:szCs w:val="24"/>
        </w:rPr>
        <w:t xml:space="preserve"> İzmir</w:t>
      </w:r>
    </w:p>
    <w:p w:rsidR="00AB32FB" w:rsidRPr="00E3202E" w:rsidRDefault="00AB32FB" w:rsidP="00B24B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E32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02E">
        <w:rPr>
          <w:rFonts w:ascii="Times New Roman" w:hAnsi="Times New Roman" w:cs="Times New Roman"/>
          <w:b/>
          <w:sz w:val="24"/>
          <w:szCs w:val="24"/>
        </w:rPr>
        <w:t>Publication</w:t>
      </w:r>
      <w:r w:rsidR="00E3202E" w:rsidRPr="00E3202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E3202E">
        <w:rPr>
          <w:rFonts w:ascii="Times New Roman" w:hAnsi="Times New Roman" w:cs="Times New Roman"/>
          <w:sz w:val="24"/>
          <w:szCs w:val="24"/>
        </w:rPr>
        <w:t>: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1: </w:t>
      </w:r>
      <w:proofErr w:type="spellStart"/>
      <w:r w:rsidRPr="00E3202E">
        <w:rPr>
          <w:b w:val="0"/>
          <w:bCs w:val="0"/>
          <w:szCs w:val="24"/>
        </w:rPr>
        <w:t>Aydin</w:t>
      </w:r>
      <w:proofErr w:type="spellEnd"/>
      <w:r w:rsidRPr="00E3202E">
        <w:rPr>
          <w:b w:val="0"/>
          <w:bCs w:val="0"/>
          <w:szCs w:val="24"/>
        </w:rPr>
        <w:t xml:space="preserve"> B, </w:t>
      </w:r>
      <w:proofErr w:type="spellStart"/>
      <w:r w:rsidRPr="00E3202E">
        <w:rPr>
          <w:b w:val="0"/>
          <w:bCs w:val="0"/>
          <w:szCs w:val="24"/>
        </w:rPr>
        <w:t>Ozban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 w:val="0"/>
          <w:bCs w:val="0"/>
          <w:szCs w:val="24"/>
        </w:rPr>
        <w:t>Serinken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 w:val="0"/>
          <w:bCs w:val="0"/>
          <w:szCs w:val="24"/>
        </w:rPr>
        <w:t>Kaptanoglu</w:t>
      </w:r>
      <w:proofErr w:type="spellEnd"/>
      <w:r w:rsidRPr="00E3202E">
        <w:rPr>
          <w:b w:val="0"/>
          <w:bCs w:val="0"/>
          <w:szCs w:val="24"/>
        </w:rPr>
        <w:t xml:space="preserve"> B,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NC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Aydin</w:t>
      </w:r>
      <w:proofErr w:type="spellEnd"/>
      <w:r w:rsidRPr="00E3202E">
        <w:rPr>
          <w:b w:val="0"/>
          <w:bCs w:val="0"/>
          <w:szCs w:val="24"/>
        </w:rPr>
        <w:t xml:space="preserve"> C. The place of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>D-</w:t>
      </w:r>
      <w:proofErr w:type="spellStart"/>
      <w:r w:rsidRPr="00E3202E">
        <w:rPr>
          <w:b w:val="0"/>
          <w:bCs w:val="0"/>
          <w:szCs w:val="24"/>
        </w:rPr>
        <w:t>dimer</w:t>
      </w:r>
      <w:proofErr w:type="spellEnd"/>
      <w:r w:rsidRPr="00E3202E">
        <w:rPr>
          <w:b w:val="0"/>
          <w:bCs w:val="0"/>
          <w:szCs w:val="24"/>
        </w:rPr>
        <w:t xml:space="preserve"> and L-lactate levels in the early diagnosis of acute mesenteric ischemia.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proofErr w:type="spellStart"/>
      <w:r w:rsidRPr="00E3202E">
        <w:rPr>
          <w:b w:val="0"/>
          <w:bCs w:val="0"/>
          <w:szCs w:val="24"/>
        </w:rPr>
        <w:t>Bratisl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Lek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Listy</w:t>
      </w:r>
      <w:proofErr w:type="spellEnd"/>
      <w:r w:rsidRPr="00E3202E">
        <w:rPr>
          <w:b w:val="0"/>
          <w:bCs w:val="0"/>
          <w:szCs w:val="24"/>
        </w:rPr>
        <w:t xml:space="preserve">. 2015;116(5):343-50.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25924647.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2: </w:t>
      </w:r>
      <w:proofErr w:type="spellStart"/>
      <w:r w:rsidRPr="00E3202E">
        <w:rPr>
          <w:b w:val="0"/>
          <w:bCs w:val="0"/>
          <w:szCs w:val="24"/>
        </w:rPr>
        <w:t>Kutlu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 w:val="0"/>
          <w:bCs w:val="0"/>
          <w:szCs w:val="24"/>
        </w:rPr>
        <w:t>Ergin</w:t>
      </w:r>
      <w:proofErr w:type="spellEnd"/>
      <w:r w:rsidRPr="00E3202E">
        <w:rPr>
          <w:b w:val="0"/>
          <w:bCs w:val="0"/>
          <w:szCs w:val="24"/>
        </w:rPr>
        <w:t xml:space="preserve"> Ç, </w:t>
      </w:r>
      <w:proofErr w:type="spellStart"/>
      <w:r w:rsidRPr="00E3202E">
        <w:rPr>
          <w:b w:val="0"/>
          <w:bCs w:val="0"/>
          <w:szCs w:val="24"/>
        </w:rPr>
        <w:t>Şen-Türk</w:t>
      </w:r>
      <w:proofErr w:type="spellEnd"/>
      <w:r w:rsidRPr="00E3202E">
        <w:rPr>
          <w:b w:val="0"/>
          <w:bCs w:val="0"/>
          <w:szCs w:val="24"/>
        </w:rPr>
        <w:t xml:space="preserve"> N, </w:t>
      </w:r>
      <w:proofErr w:type="spellStart"/>
      <w:r w:rsidRPr="00E3202E">
        <w:rPr>
          <w:b w:val="0"/>
          <w:bCs w:val="0"/>
          <w:szCs w:val="24"/>
        </w:rPr>
        <w:t>Sayin-Kutlu</w:t>
      </w:r>
      <w:proofErr w:type="spellEnd"/>
      <w:r w:rsidRPr="00E3202E">
        <w:rPr>
          <w:b w:val="0"/>
          <w:bCs w:val="0"/>
          <w:szCs w:val="24"/>
        </w:rPr>
        <w:t xml:space="preserve"> S, </w:t>
      </w:r>
      <w:proofErr w:type="spellStart"/>
      <w:r w:rsidRPr="00E3202E">
        <w:rPr>
          <w:b w:val="0"/>
          <w:bCs w:val="0"/>
          <w:szCs w:val="24"/>
        </w:rPr>
        <w:t>Zorbozan</w:t>
      </w:r>
      <w:proofErr w:type="spellEnd"/>
      <w:r w:rsidRPr="00E3202E">
        <w:rPr>
          <w:b w:val="0"/>
          <w:bCs w:val="0"/>
          <w:szCs w:val="24"/>
        </w:rPr>
        <w:t xml:space="preserve"> O, </w:t>
      </w:r>
      <w:proofErr w:type="spellStart"/>
      <w:r w:rsidRPr="00E3202E">
        <w:rPr>
          <w:b w:val="0"/>
          <w:bCs w:val="0"/>
          <w:szCs w:val="24"/>
        </w:rPr>
        <w:t>Akalın</w:t>
      </w:r>
      <w:proofErr w:type="spellEnd"/>
      <w:r w:rsidRPr="00E3202E">
        <w:rPr>
          <w:b w:val="0"/>
          <w:bCs w:val="0"/>
          <w:szCs w:val="24"/>
        </w:rPr>
        <w:t xml:space="preserve"> Ş, </w:t>
      </w:r>
      <w:proofErr w:type="spellStart"/>
      <w:r w:rsidRPr="00E3202E">
        <w:rPr>
          <w:b w:val="0"/>
          <w:bCs w:val="0"/>
          <w:szCs w:val="24"/>
        </w:rPr>
        <w:t>Şahin</w:t>
      </w:r>
      <w:proofErr w:type="spellEnd"/>
      <w:r w:rsidRPr="00E3202E">
        <w:rPr>
          <w:b w:val="0"/>
          <w:bCs w:val="0"/>
          <w:szCs w:val="24"/>
        </w:rPr>
        <w:t xml:space="preserve"> B,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proofErr w:type="spellStart"/>
      <w:r w:rsidRPr="00E3202E">
        <w:rPr>
          <w:b w:val="0"/>
          <w:bCs w:val="0"/>
          <w:szCs w:val="24"/>
        </w:rPr>
        <w:t>Çobankara</w:t>
      </w:r>
      <w:proofErr w:type="spellEnd"/>
      <w:r w:rsidRPr="00E3202E">
        <w:rPr>
          <w:b w:val="0"/>
          <w:bCs w:val="0"/>
          <w:szCs w:val="24"/>
        </w:rPr>
        <w:t xml:space="preserve"> V,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. Acute </w:t>
      </w:r>
      <w:proofErr w:type="spellStart"/>
      <w:r w:rsidRPr="00E3202E">
        <w:rPr>
          <w:b w:val="0"/>
          <w:bCs w:val="0"/>
          <w:szCs w:val="24"/>
        </w:rPr>
        <w:t>Brucella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melitensis</w:t>
      </w:r>
      <w:proofErr w:type="spellEnd"/>
      <w:r w:rsidRPr="00E3202E">
        <w:rPr>
          <w:b w:val="0"/>
          <w:bCs w:val="0"/>
          <w:szCs w:val="24"/>
        </w:rPr>
        <w:t xml:space="preserve"> M16 infection model in mice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treated with tumor necrosis factor-alpha inhibitors. J Infect Dev </w:t>
      </w:r>
      <w:proofErr w:type="spellStart"/>
      <w:r w:rsidRPr="00E3202E">
        <w:rPr>
          <w:b w:val="0"/>
          <w:bCs w:val="0"/>
          <w:szCs w:val="24"/>
        </w:rPr>
        <w:t>Ctries</w:t>
      </w:r>
      <w:proofErr w:type="spellEnd"/>
      <w:r w:rsidRPr="00E3202E">
        <w:rPr>
          <w:b w:val="0"/>
          <w:bCs w:val="0"/>
          <w:szCs w:val="24"/>
        </w:rPr>
        <w:t>. 2015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Feb 19;9(2):141-8. </w:t>
      </w:r>
      <w:proofErr w:type="spellStart"/>
      <w:r w:rsidRPr="00E3202E">
        <w:rPr>
          <w:b w:val="0"/>
          <w:bCs w:val="0"/>
          <w:szCs w:val="24"/>
        </w:rPr>
        <w:t>doi</w:t>
      </w:r>
      <w:proofErr w:type="spellEnd"/>
      <w:r w:rsidRPr="00E3202E">
        <w:rPr>
          <w:b w:val="0"/>
          <w:bCs w:val="0"/>
          <w:szCs w:val="24"/>
        </w:rPr>
        <w:t xml:space="preserve">: 10.3855/jidc.5155.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25699488.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3: </w:t>
      </w:r>
      <w:proofErr w:type="spellStart"/>
      <w:r w:rsidRPr="00E3202E">
        <w:rPr>
          <w:b w:val="0"/>
          <w:bCs w:val="0"/>
          <w:szCs w:val="24"/>
        </w:rPr>
        <w:t>Yaren</w:t>
      </w:r>
      <w:proofErr w:type="spellEnd"/>
      <w:r w:rsidRPr="00E3202E">
        <w:rPr>
          <w:b w:val="0"/>
          <w:bCs w:val="0"/>
          <w:szCs w:val="24"/>
        </w:rPr>
        <w:t xml:space="preserve"> A, </w:t>
      </w:r>
      <w:proofErr w:type="spellStart"/>
      <w:r w:rsidRPr="00E3202E">
        <w:rPr>
          <w:b w:val="0"/>
          <w:bCs w:val="0"/>
          <w:szCs w:val="24"/>
        </w:rPr>
        <w:t>Değirmencioğlu</w:t>
      </w:r>
      <w:proofErr w:type="spellEnd"/>
      <w:r w:rsidRPr="00E3202E">
        <w:rPr>
          <w:b w:val="0"/>
          <w:bCs w:val="0"/>
          <w:szCs w:val="24"/>
        </w:rPr>
        <w:t xml:space="preserve"> S, </w:t>
      </w:r>
      <w:proofErr w:type="spellStart"/>
      <w:r w:rsidRPr="00E3202E">
        <w:rPr>
          <w:bCs w:val="0"/>
          <w:szCs w:val="24"/>
        </w:rPr>
        <w:t>Callı</w:t>
      </w:r>
      <w:proofErr w:type="spellEnd"/>
      <w:r w:rsidRPr="00E3202E">
        <w:rPr>
          <w:bCs w:val="0"/>
          <w:szCs w:val="24"/>
        </w:rPr>
        <w:t xml:space="preserve">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Gökçen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Demiray</w:t>
      </w:r>
      <w:proofErr w:type="spellEnd"/>
      <w:r w:rsidRPr="00E3202E">
        <w:rPr>
          <w:b w:val="0"/>
          <w:bCs w:val="0"/>
          <w:szCs w:val="24"/>
        </w:rPr>
        <w:t xml:space="preserve"> A, </w:t>
      </w:r>
      <w:proofErr w:type="spellStart"/>
      <w:r w:rsidRPr="00E3202E">
        <w:rPr>
          <w:b w:val="0"/>
          <w:bCs w:val="0"/>
          <w:szCs w:val="24"/>
        </w:rPr>
        <w:t>Taşköylü</w:t>
      </w:r>
      <w:proofErr w:type="spellEnd"/>
      <w:r w:rsidRPr="00E3202E">
        <w:rPr>
          <w:b w:val="0"/>
          <w:bCs w:val="0"/>
          <w:szCs w:val="24"/>
        </w:rPr>
        <w:t xml:space="preserve"> B,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proofErr w:type="spellStart"/>
      <w:r w:rsidRPr="00E3202E">
        <w:rPr>
          <w:b w:val="0"/>
          <w:bCs w:val="0"/>
          <w:szCs w:val="24"/>
        </w:rPr>
        <w:t>Doğu</w:t>
      </w:r>
      <w:proofErr w:type="spellEnd"/>
      <w:r w:rsidRPr="00E3202E">
        <w:rPr>
          <w:b w:val="0"/>
          <w:bCs w:val="0"/>
          <w:szCs w:val="24"/>
        </w:rPr>
        <w:t xml:space="preserve"> GG. Primary </w:t>
      </w:r>
      <w:proofErr w:type="spellStart"/>
      <w:r w:rsidRPr="00E3202E">
        <w:rPr>
          <w:b w:val="0"/>
          <w:bCs w:val="0"/>
          <w:szCs w:val="24"/>
        </w:rPr>
        <w:t>mesenchymal</w:t>
      </w:r>
      <w:proofErr w:type="spellEnd"/>
      <w:r w:rsidRPr="00E3202E">
        <w:rPr>
          <w:b w:val="0"/>
          <w:bCs w:val="0"/>
          <w:szCs w:val="24"/>
        </w:rPr>
        <w:t xml:space="preserve"> tumors of the colon: a report of three cases. Turk J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proofErr w:type="spellStart"/>
      <w:r w:rsidRPr="00E3202E">
        <w:rPr>
          <w:b w:val="0"/>
          <w:bCs w:val="0"/>
          <w:szCs w:val="24"/>
        </w:rPr>
        <w:t>Gastroenterol</w:t>
      </w:r>
      <w:proofErr w:type="spellEnd"/>
      <w:r w:rsidRPr="00E3202E">
        <w:rPr>
          <w:b w:val="0"/>
          <w:bCs w:val="0"/>
          <w:szCs w:val="24"/>
        </w:rPr>
        <w:t xml:space="preserve">. 2014 Jun;25(3):314-8. </w:t>
      </w:r>
      <w:proofErr w:type="spellStart"/>
      <w:r w:rsidRPr="00E3202E">
        <w:rPr>
          <w:b w:val="0"/>
          <w:bCs w:val="0"/>
          <w:szCs w:val="24"/>
        </w:rPr>
        <w:t>doi</w:t>
      </w:r>
      <w:proofErr w:type="spellEnd"/>
      <w:r w:rsidRPr="00E3202E">
        <w:rPr>
          <w:b w:val="0"/>
          <w:bCs w:val="0"/>
          <w:szCs w:val="24"/>
        </w:rPr>
        <w:t xml:space="preserve">: 10.5152/tjg.2014.4010.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lastRenderedPageBreak/>
        <w:t>25141322.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4: </w:t>
      </w:r>
      <w:proofErr w:type="spellStart"/>
      <w:r w:rsidRPr="00E3202E">
        <w:rPr>
          <w:b w:val="0"/>
          <w:bCs w:val="0"/>
          <w:szCs w:val="24"/>
        </w:rPr>
        <w:t>Gündoğan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Cs w:val="0"/>
          <w:szCs w:val="24"/>
        </w:rPr>
        <w:t>Çalli</w:t>
      </w:r>
      <w:proofErr w:type="spellEnd"/>
      <w:r w:rsidRPr="00E3202E">
        <w:rPr>
          <w:bCs w:val="0"/>
          <w:szCs w:val="24"/>
        </w:rPr>
        <w:t xml:space="preserve"> </w:t>
      </w:r>
      <w:proofErr w:type="spellStart"/>
      <w:r w:rsidRPr="00E3202E">
        <w:rPr>
          <w:bCs w:val="0"/>
          <w:szCs w:val="24"/>
        </w:rPr>
        <w:t>Demırkan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Tekın</w:t>
      </w:r>
      <w:proofErr w:type="spellEnd"/>
      <w:r w:rsidRPr="00E3202E">
        <w:rPr>
          <w:b w:val="0"/>
          <w:bCs w:val="0"/>
          <w:szCs w:val="24"/>
        </w:rPr>
        <w:t xml:space="preserve"> K, </w:t>
      </w:r>
      <w:proofErr w:type="spellStart"/>
      <w:r w:rsidRPr="00E3202E">
        <w:rPr>
          <w:b w:val="0"/>
          <w:bCs w:val="0"/>
          <w:szCs w:val="24"/>
        </w:rPr>
        <w:t>Aybek</w:t>
      </w:r>
      <w:proofErr w:type="spellEnd"/>
      <w:r w:rsidRPr="00E3202E">
        <w:rPr>
          <w:b w:val="0"/>
          <w:bCs w:val="0"/>
          <w:szCs w:val="24"/>
        </w:rPr>
        <w:t xml:space="preserve"> H. Gastric </w:t>
      </w:r>
      <w:proofErr w:type="spellStart"/>
      <w:r w:rsidRPr="00E3202E">
        <w:rPr>
          <w:b w:val="0"/>
          <w:bCs w:val="0"/>
          <w:szCs w:val="24"/>
        </w:rPr>
        <w:t>histopathological</w:t>
      </w:r>
      <w:proofErr w:type="spellEnd"/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findings and </w:t>
      </w:r>
      <w:proofErr w:type="spellStart"/>
      <w:r w:rsidRPr="00E3202E">
        <w:rPr>
          <w:b w:val="0"/>
          <w:bCs w:val="0"/>
          <w:szCs w:val="24"/>
        </w:rPr>
        <w:t>ghrelin</w:t>
      </w:r>
      <w:proofErr w:type="spellEnd"/>
      <w:r w:rsidRPr="00E3202E">
        <w:rPr>
          <w:b w:val="0"/>
          <w:bCs w:val="0"/>
          <w:szCs w:val="24"/>
        </w:rPr>
        <w:t xml:space="preserve"> expression in morbid obesity. Turk </w:t>
      </w:r>
      <w:proofErr w:type="spellStart"/>
      <w:r w:rsidRPr="00E3202E">
        <w:rPr>
          <w:b w:val="0"/>
          <w:bCs w:val="0"/>
          <w:szCs w:val="24"/>
        </w:rPr>
        <w:t>Patoloji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Derg</w:t>
      </w:r>
      <w:proofErr w:type="spellEnd"/>
      <w:r w:rsidRPr="00E3202E">
        <w:rPr>
          <w:b w:val="0"/>
          <w:bCs w:val="0"/>
          <w:szCs w:val="24"/>
        </w:rPr>
        <w:t>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2013;29(1):19-26. </w:t>
      </w:r>
      <w:proofErr w:type="spellStart"/>
      <w:r w:rsidRPr="00E3202E">
        <w:rPr>
          <w:b w:val="0"/>
          <w:bCs w:val="0"/>
          <w:szCs w:val="24"/>
        </w:rPr>
        <w:t>doi</w:t>
      </w:r>
      <w:proofErr w:type="spellEnd"/>
      <w:r w:rsidRPr="00E3202E">
        <w:rPr>
          <w:b w:val="0"/>
          <w:bCs w:val="0"/>
          <w:szCs w:val="24"/>
        </w:rPr>
        <w:t xml:space="preserve">: 10.5146/tjpath.2013.01143.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23354792.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5: </w:t>
      </w:r>
      <w:proofErr w:type="spellStart"/>
      <w:r w:rsidRPr="00E3202E">
        <w:rPr>
          <w:b w:val="0"/>
          <w:bCs w:val="0"/>
          <w:szCs w:val="24"/>
        </w:rPr>
        <w:t>Tuncer</w:t>
      </w:r>
      <w:proofErr w:type="spellEnd"/>
      <w:r w:rsidRPr="00E3202E">
        <w:rPr>
          <w:b w:val="0"/>
          <w:bCs w:val="0"/>
          <w:szCs w:val="24"/>
        </w:rPr>
        <w:t xml:space="preserve"> E, </w:t>
      </w:r>
      <w:proofErr w:type="spellStart"/>
      <w:r w:rsidRPr="00E3202E">
        <w:rPr>
          <w:b w:val="0"/>
          <w:bCs w:val="0"/>
          <w:szCs w:val="24"/>
        </w:rPr>
        <w:t>Türk</w:t>
      </w:r>
      <w:proofErr w:type="spellEnd"/>
      <w:r w:rsidRPr="00E3202E">
        <w:rPr>
          <w:b w:val="0"/>
          <w:bCs w:val="0"/>
          <w:szCs w:val="24"/>
        </w:rPr>
        <w:t xml:space="preserve"> NS, </w:t>
      </w:r>
      <w:proofErr w:type="spellStart"/>
      <w:r w:rsidRPr="00E3202E">
        <w:rPr>
          <w:b w:val="0"/>
          <w:bCs w:val="0"/>
          <w:szCs w:val="24"/>
        </w:rPr>
        <w:t>Arici</w:t>
      </w:r>
      <w:proofErr w:type="spellEnd"/>
      <w:r w:rsidRPr="00E3202E">
        <w:rPr>
          <w:b w:val="0"/>
          <w:bCs w:val="0"/>
          <w:szCs w:val="24"/>
        </w:rPr>
        <w:t xml:space="preserve"> S, </w:t>
      </w:r>
      <w:proofErr w:type="spellStart"/>
      <w:r w:rsidRPr="00E3202E">
        <w:rPr>
          <w:b w:val="0"/>
          <w:bCs w:val="0"/>
          <w:szCs w:val="24"/>
        </w:rPr>
        <w:t>Düzcan</w:t>
      </w:r>
      <w:proofErr w:type="spellEnd"/>
      <w:r w:rsidRPr="00E3202E">
        <w:rPr>
          <w:b w:val="0"/>
          <w:bCs w:val="0"/>
          <w:szCs w:val="24"/>
        </w:rPr>
        <w:t xml:space="preserve"> SE,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NC</w:t>
      </w:r>
      <w:r w:rsidRPr="00E3202E">
        <w:rPr>
          <w:b w:val="0"/>
          <w:bCs w:val="0"/>
          <w:szCs w:val="24"/>
        </w:rPr>
        <w:t xml:space="preserve">. Expression of p16 protein 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and </w:t>
      </w:r>
      <w:proofErr w:type="spellStart"/>
      <w:r w:rsidRPr="00E3202E">
        <w:rPr>
          <w:b w:val="0"/>
          <w:bCs w:val="0"/>
          <w:szCs w:val="24"/>
        </w:rPr>
        <w:t>cyclin</w:t>
      </w:r>
      <w:proofErr w:type="spellEnd"/>
      <w:r w:rsidRPr="00E3202E">
        <w:rPr>
          <w:b w:val="0"/>
          <w:bCs w:val="0"/>
          <w:szCs w:val="24"/>
        </w:rPr>
        <w:t xml:space="preserve"> D1 in </w:t>
      </w:r>
      <w:proofErr w:type="spellStart"/>
      <w:r w:rsidRPr="00E3202E">
        <w:rPr>
          <w:b w:val="0"/>
          <w:bCs w:val="0"/>
          <w:szCs w:val="24"/>
        </w:rPr>
        <w:t>periampullary</w:t>
      </w:r>
      <w:proofErr w:type="spellEnd"/>
      <w:r w:rsidRPr="00E3202E">
        <w:rPr>
          <w:b w:val="0"/>
          <w:bCs w:val="0"/>
          <w:szCs w:val="24"/>
        </w:rPr>
        <w:t xml:space="preserve"> carcinomas. Turk </w:t>
      </w:r>
      <w:proofErr w:type="spellStart"/>
      <w:r w:rsidRPr="00E3202E">
        <w:rPr>
          <w:b w:val="0"/>
          <w:bCs w:val="0"/>
          <w:szCs w:val="24"/>
        </w:rPr>
        <w:t>Patoloji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Derg</w:t>
      </w:r>
      <w:proofErr w:type="spellEnd"/>
      <w:r w:rsidRPr="00E3202E">
        <w:rPr>
          <w:b w:val="0"/>
          <w:bCs w:val="0"/>
          <w:szCs w:val="24"/>
        </w:rPr>
        <w:t>. 2011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Jan;27(1):17-22.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21469422.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6: </w:t>
      </w:r>
      <w:proofErr w:type="spellStart"/>
      <w:r w:rsidRPr="00E3202E">
        <w:rPr>
          <w:b w:val="0"/>
          <w:bCs w:val="0"/>
          <w:szCs w:val="24"/>
        </w:rPr>
        <w:t>Yaylali</w:t>
      </w:r>
      <w:proofErr w:type="spellEnd"/>
      <w:r w:rsidRPr="00E3202E">
        <w:rPr>
          <w:b w:val="0"/>
          <w:bCs w:val="0"/>
          <w:szCs w:val="24"/>
        </w:rPr>
        <w:t xml:space="preserve"> O, </w:t>
      </w:r>
      <w:proofErr w:type="spellStart"/>
      <w:r w:rsidRPr="00E3202E">
        <w:rPr>
          <w:b w:val="0"/>
          <w:bCs w:val="0"/>
          <w:szCs w:val="24"/>
        </w:rPr>
        <w:t>Kirac</w:t>
      </w:r>
      <w:proofErr w:type="spellEnd"/>
      <w:r w:rsidRPr="00E3202E">
        <w:rPr>
          <w:b w:val="0"/>
          <w:bCs w:val="0"/>
          <w:szCs w:val="24"/>
        </w:rPr>
        <w:t xml:space="preserve"> S, </w:t>
      </w:r>
      <w:proofErr w:type="spellStart"/>
      <w:r w:rsidRPr="00E3202E">
        <w:rPr>
          <w:b w:val="0"/>
          <w:bCs w:val="0"/>
          <w:szCs w:val="24"/>
        </w:rPr>
        <w:t>Yilmaz</w:t>
      </w:r>
      <w:proofErr w:type="spellEnd"/>
      <w:r w:rsidRPr="00E3202E">
        <w:rPr>
          <w:b w:val="0"/>
          <w:bCs w:val="0"/>
          <w:szCs w:val="24"/>
        </w:rPr>
        <w:t xml:space="preserve"> M, Akin F, </w:t>
      </w:r>
      <w:proofErr w:type="spellStart"/>
      <w:r w:rsidRPr="00E3202E">
        <w:rPr>
          <w:b w:val="0"/>
          <w:bCs w:val="0"/>
          <w:szCs w:val="24"/>
        </w:rPr>
        <w:t>Yuksel</w:t>
      </w:r>
      <w:proofErr w:type="spellEnd"/>
      <w:r w:rsidRPr="00E3202E">
        <w:rPr>
          <w:b w:val="0"/>
          <w:bCs w:val="0"/>
          <w:szCs w:val="24"/>
        </w:rPr>
        <w:t xml:space="preserve"> D,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Akdag</w:t>
      </w:r>
      <w:proofErr w:type="spellEnd"/>
      <w:r w:rsidRPr="00E3202E">
        <w:rPr>
          <w:b w:val="0"/>
          <w:bCs w:val="0"/>
          <w:szCs w:val="24"/>
        </w:rPr>
        <w:t xml:space="preserve"> B. Does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hypothyroidism affect gastrointestinal motility? </w:t>
      </w:r>
      <w:proofErr w:type="spellStart"/>
      <w:r w:rsidRPr="00E3202E">
        <w:rPr>
          <w:b w:val="0"/>
          <w:bCs w:val="0"/>
          <w:szCs w:val="24"/>
        </w:rPr>
        <w:t>Gastroenterol</w:t>
      </w:r>
      <w:proofErr w:type="spellEnd"/>
      <w:r w:rsidRPr="00E3202E">
        <w:rPr>
          <w:b w:val="0"/>
          <w:bCs w:val="0"/>
          <w:szCs w:val="24"/>
        </w:rPr>
        <w:t xml:space="preserve"> Res </w:t>
      </w:r>
      <w:proofErr w:type="spellStart"/>
      <w:r w:rsidRPr="00E3202E">
        <w:rPr>
          <w:b w:val="0"/>
          <w:bCs w:val="0"/>
          <w:szCs w:val="24"/>
        </w:rPr>
        <w:t>Pract</w:t>
      </w:r>
      <w:proofErr w:type="spellEnd"/>
      <w:r w:rsidRPr="00E3202E">
        <w:rPr>
          <w:b w:val="0"/>
          <w:bCs w:val="0"/>
          <w:szCs w:val="24"/>
        </w:rPr>
        <w:t>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2009;2009:529802. </w:t>
      </w:r>
      <w:proofErr w:type="spellStart"/>
      <w:r w:rsidRPr="00E3202E">
        <w:rPr>
          <w:b w:val="0"/>
          <w:bCs w:val="0"/>
          <w:szCs w:val="24"/>
        </w:rPr>
        <w:t>doi</w:t>
      </w:r>
      <w:proofErr w:type="spellEnd"/>
      <w:r w:rsidRPr="00E3202E">
        <w:rPr>
          <w:b w:val="0"/>
          <w:bCs w:val="0"/>
          <w:szCs w:val="24"/>
        </w:rPr>
        <w:t xml:space="preserve">: 10.1155/2009/529802. </w:t>
      </w:r>
      <w:proofErr w:type="spellStart"/>
      <w:r w:rsidRPr="00E3202E">
        <w:rPr>
          <w:b w:val="0"/>
          <w:bCs w:val="0"/>
          <w:szCs w:val="24"/>
        </w:rPr>
        <w:t>Epub</w:t>
      </w:r>
      <w:proofErr w:type="spellEnd"/>
      <w:r w:rsidRPr="00E3202E">
        <w:rPr>
          <w:b w:val="0"/>
          <w:bCs w:val="0"/>
          <w:szCs w:val="24"/>
        </w:rPr>
        <w:t xml:space="preserve"> 2010 Mar 7.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20224642;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Central PMCID: PMC2833301.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7: </w:t>
      </w:r>
      <w:proofErr w:type="spellStart"/>
      <w:r w:rsidRPr="00E3202E">
        <w:rPr>
          <w:b w:val="0"/>
          <w:bCs w:val="0"/>
          <w:szCs w:val="24"/>
        </w:rPr>
        <w:t>Teke</w:t>
      </w:r>
      <w:proofErr w:type="spellEnd"/>
      <w:r w:rsidRPr="00E3202E">
        <w:rPr>
          <w:b w:val="0"/>
          <w:bCs w:val="0"/>
          <w:szCs w:val="24"/>
        </w:rPr>
        <w:t xml:space="preserve"> Z, </w:t>
      </w:r>
      <w:proofErr w:type="spellStart"/>
      <w:r w:rsidRPr="00E3202E">
        <w:rPr>
          <w:b w:val="0"/>
          <w:bCs w:val="0"/>
          <w:szCs w:val="24"/>
        </w:rPr>
        <w:t>Aytekin</w:t>
      </w:r>
      <w:proofErr w:type="spellEnd"/>
      <w:r w:rsidRPr="00E3202E">
        <w:rPr>
          <w:b w:val="0"/>
          <w:bCs w:val="0"/>
          <w:szCs w:val="24"/>
        </w:rPr>
        <w:t xml:space="preserve"> FO, </w:t>
      </w:r>
      <w:proofErr w:type="spellStart"/>
      <w:r w:rsidRPr="00E3202E">
        <w:rPr>
          <w:b w:val="0"/>
          <w:bCs w:val="0"/>
          <w:szCs w:val="24"/>
        </w:rPr>
        <w:t>Atalay</w:t>
      </w:r>
      <w:proofErr w:type="spellEnd"/>
      <w:r w:rsidRPr="00E3202E">
        <w:rPr>
          <w:b w:val="0"/>
          <w:bCs w:val="0"/>
          <w:szCs w:val="24"/>
        </w:rPr>
        <w:t xml:space="preserve"> AO,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NC</w:t>
      </w:r>
      <w:r w:rsidRPr="00E3202E">
        <w:rPr>
          <w:b w:val="0"/>
          <w:bCs w:val="0"/>
          <w:szCs w:val="24"/>
        </w:rPr>
        <w:t xml:space="preserve">. </w:t>
      </w:r>
      <w:proofErr w:type="spellStart"/>
      <w:r w:rsidRPr="00E3202E">
        <w:rPr>
          <w:b w:val="0"/>
          <w:bCs w:val="0"/>
          <w:szCs w:val="24"/>
        </w:rPr>
        <w:t>Crohn's</w:t>
      </w:r>
      <w:proofErr w:type="spellEnd"/>
      <w:r w:rsidRPr="00E3202E">
        <w:rPr>
          <w:b w:val="0"/>
          <w:bCs w:val="0"/>
          <w:szCs w:val="24"/>
        </w:rPr>
        <w:t xml:space="preserve"> disease complicated by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multiple </w:t>
      </w:r>
      <w:proofErr w:type="spellStart"/>
      <w:r w:rsidRPr="00E3202E">
        <w:rPr>
          <w:b w:val="0"/>
          <w:bCs w:val="0"/>
          <w:szCs w:val="24"/>
        </w:rPr>
        <w:t>stenoses</w:t>
      </w:r>
      <w:proofErr w:type="spellEnd"/>
      <w:r w:rsidRPr="00E3202E">
        <w:rPr>
          <w:b w:val="0"/>
          <w:bCs w:val="0"/>
          <w:szCs w:val="24"/>
        </w:rPr>
        <w:t xml:space="preserve"> and internal fistulas clinically mimicking small bowel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endometriosis. World J </w:t>
      </w:r>
      <w:proofErr w:type="spellStart"/>
      <w:r w:rsidRPr="00E3202E">
        <w:rPr>
          <w:b w:val="0"/>
          <w:bCs w:val="0"/>
          <w:szCs w:val="24"/>
        </w:rPr>
        <w:t>Gastroenterol</w:t>
      </w:r>
      <w:proofErr w:type="spellEnd"/>
      <w:r w:rsidRPr="00E3202E">
        <w:rPr>
          <w:b w:val="0"/>
          <w:bCs w:val="0"/>
          <w:szCs w:val="24"/>
        </w:rPr>
        <w:t xml:space="preserve">. 2008 Jan 7;14(1):146-51.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18176980;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Central PMCID: PMC2673382.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8: </w:t>
      </w:r>
      <w:proofErr w:type="spellStart"/>
      <w:r w:rsidRPr="00E3202E">
        <w:rPr>
          <w:b w:val="0"/>
          <w:bCs w:val="0"/>
          <w:szCs w:val="24"/>
        </w:rPr>
        <w:t>Sen</w:t>
      </w:r>
      <w:proofErr w:type="spellEnd"/>
      <w:r w:rsidRPr="00E3202E">
        <w:rPr>
          <w:b w:val="0"/>
          <w:bCs w:val="0"/>
          <w:szCs w:val="24"/>
        </w:rPr>
        <w:t xml:space="preserve"> N, </w:t>
      </w:r>
      <w:proofErr w:type="spellStart"/>
      <w:r w:rsidRPr="00E3202E">
        <w:rPr>
          <w:bCs w:val="0"/>
          <w:szCs w:val="24"/>
        </w:rPr>
        <w:t>Calli</w:t>
      </w:r>
      <w:proofErr w:type="spellEnd"/>
      <w:r w:rsidRPr="00E3202E">
        <w:rPr>
          <w:bCs w:val="0"/>
          <w:szCs w:val="24"/>
        </w:rPr>
        <w:t xml:space="preserve">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Aksoy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Altinboğa</w:t>
      </w:r>
      <w:proofErr w:type="spellEnd"/>
      <w:r w:rsidRPr="00E3202E">
        <w:rPr>
          <w:b w:val="0"/>
          <w:bCs w:val="0"/>
          <w:szCs w:val="24"/>
        </w:rPr>
        <w:t xml:space="preserve"> A, </w:t>
      </w:r>
      <w:proofErr w:type="spellStart"/>
      <w:r w:rsidRPr="00E3202E">
        <w:rPr>
          <w:b w:val="0"/>
          <w:bCs w:val="0"/>
          <w:szCs w:val="24"/>
        </w:rPr>
        <w:t>Bolat</w:t>
      </w:r>
      <w:proofErr w:type="spellEnd"/>
      <w:r w:rsidRPr="00E3202E">
        <w:rPr>
          <w:b w:val="0"/>
          <w:bCs w:val="0"/>
          <w:szCs w:val="24"/>
        </w:rPr>
        <w:t xml:space="preserve"> H, </w:t>
      </w:r>
      <w:proofErr w:type="spellStart"/>
      <w:r w:rsidRPr="00E3202E">
        <w:rPr>
          <w:b w:val="0"/>
          <w:bCs w:val="0"/>
          <w:szCs w:val="24"/>
        </w:rPr>
        <w:t>Erdem</w:t>
      </w:r>
      <w:proofErr w:type="spellEnd"/>
      <w:r w:rsidRPr="00E3202E">
        <w:rPr>
          <w:b w:val="0"/>
          <w:bCs w:val="0"/>
          <w:szCs w:val="24"/>
        </w:rPr>
        <w:t xml:space="preserve"> E. Synchronous</w:t>
      </w:r>
    </w:p>
    <w:p w:rsidR="00AB32FB" w:rsidRPr="00E3202E" w:rsidRDefault="00AB32FB" w:rsidP="00AB32FB">
      <w:pPr>
        <w:pStyle w:val="GvdeMetni2"/>
        <w:spacing w:after="120"/>
        <w:ind w:left="3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      endocrine tumors of small intestine: report of a case. Turk J </w:t>
      </w:r>
      <w:proofErr w:type="spellStart"/>
      <w:r w:rsidRPr="00E3202E">
        <w:rPr>
          <w:b w:val="0"/>
          <w:bCs w:val="0"/>
          <w:szCs w:val="24"/>
        </w:rPr>
        <w:t>Gastroenterol</w:t>
      </w:r>
      <w:proofErr w:type="spellEnd"/>
      <w:r w:rsidRPr="00E3202E">
        <w:rPr>
          <w:b w:val="0"/>
          <w:bCs w:val="0"/>
          <w:szCs w:val="24"/>
        </w:rPr>
        <w:t>. 2008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Sep;19(3):193-6.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19115157</w:t>
      </w:r>
    </w:p>
    <w:p w:rsidR="00AB32FB" w:rsidRPr="00E3202E" w:rsidRDefault="00AB32FB" w:rsidP="00AB32FB">
      <w:pPr>
        <w:pStyle w:val="GvdeMetni2"/>
        <w:spacing w:after="120"/>
        <w:ind w:left="3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      9: </w:t>
      </w:r>
      <w:proofErr w:type="spellStart"/>
      <w:r w:rsidRPr="00E3202E">
        <w:rPr>
          <w:b w:val="0"/>
          <w:bCs w:val="0"/>
          <w:szCs w:val="24"/>
        </w:rPr>
        <w:t>Bir</w:t>
      </w:r>
      <w:proofErr w:type="spellEnd"/>
      <w:r w:rsidRPr="00E3202E">
        <w:rPr>
          <w:b w:val="0"/>
          <w:bCs w:val="0"/>
          <w:szCs w:val="24"/>
        </w:rPr>
        <w:t xml:space="preserve"> F, </w:t>
      </w:r>
      <w:proofErr w:type="spellStart"/>
      <w:r w:rsidRPr="00E3202E">
        <w:rPr>
          <w:bCs w:val="0"/>
          <w:szCs w:val="24"/>
        </w:rPr>
        <w:t>Calli-Demirkan</w:t>
      </w:r>
      <w:proofErr w:type="spellEnd"/>
      <w:r w:rsidRPr="00E3202E">
        <w:rPr>
          <w:bCs w:val="0"/>
          <w:szCs w:val="24"/>
        </w:rPr>
        <w:t xml:space="preserve"> N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Tufan</w:t>
      </w:r>
      <w:proofErr w:type="spellEnd"/>
      <w:r w:rsidRPr="00E3202E">
        <w:rPr>
          <w:b w:val="0"/>
          <w:bCs w:val="0"/>
          <w:szCs w:val="24"/>
        </w:rPr>
        <w:t xml:space="preserve"> AC, </w:t>
      </w:r>
      <w:proofErr w:type="spellStart"/>
      <w:r w:rsidRPr="00E3202E">
        <w:rPr>
          <w:b w:val="0"/>
          <w:bCs w:val="0"/>
          <w:szCs w:val="24"/>
        </w:rPr>
        <w:t>Akbulut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 w:val="0"/>
          <w:bCs w:val="0"/>
          <w:szCs w:val="24"/>
        </w:rPr>
        <w:t>Satiroglu-Tufan</w:t>
      </w:r>
      <w:proofErr w:type="spellEnd"/>
      <w:r w:rsidRPr="00E3202E">
        <w:rPr>
          <w:b w:val="0"/>
          <w:bCs w:val="0"/>
          <w:szCs w:val="24"/>
        </w:rPr>
        <w:t xml:space="preserve"> NL. Apoptotic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cell death and its relationship to gastric carcinogenesis. World J </w:t>
      </w:r>
      <w:proofErr w:type="spellStart"/>
      <w:r w:rsidRPr="00E3202E">
        <w:rPr>
          <w:b w:val="0"/>
          <w:bCs w:val="0"/>
          <w:szCs w:val="24"/>
        </w:rPr>
        <w:t>Gastroenterol</w:t>
      </w:r>
      <w:proofErr w:type="spellEnd"/>
      <w:r w:rsidRPr="00E3202E">
        <w:rPr>
          <w:b w:val="0"/>
          <w:bCs w:val="0"/>
          <w:szCs w:val="24"/>
        </w:rPr>
        <w:t>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2007 Jun 21;13(23):3183-8.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PMID: 17589896;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  <w:r w:rsidRPr="00E3202E">
        <w:rPr>
          <w:b w:val="0"/>
          <w:bCs w:val="0"/>
          <w:szCs w:val="24"/>
        </w:rPr>
        <w:t xml:space="preserve"> Central PMCID: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>PMC4436603.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10: </w:t>
      </w:r>
      <w:proofErr w:type="spellStart"/>
      <w:r w:rsidRPr="00E3202E">
        <w:rPr>
          <w:b w:val="0"/>
          <w:bCs w:val="0"/>
          <w:szCs w:val="24"/>
        </w:rPr>
        <w:t>Teke</w:t>
      </w:r>
      <w:proofErr w:type="spellEnd"/>
      <w:r w:rsidRPr="00E3202E">
        <w:rPr>
          <w:b w:val="0"/>
          <w:bCs w:val="0"/>
          <w:szCs w:val="24"/>
        </w:rPr>
        <w:t xml:space="preserve"> Z, </w:t>
      </w:r>
      <w:proofErr w:type="spellStart"/>
      <w:r w:rsidRPr="00E3202E">
        <w:rPr>
          <w:b w:val="0"/>
          <w:bCs w:val="0"/>
          <w:szCs w:val="24"/>
        </w:rPr>
        <w:t>Kabay</w:t>
      </w:r>
      <w:proofErr w:type="spellEnd"/>
      <w:r w:rsidRPr="00E3202E">
        <w:rPr>
          <w:b w:val="0"/>
          <w:bCs w:val="0"/>
          <w:szCs w:val="24"/>
        </w:rPr>
        <w:t xml:space="preserve"> B, </w:t>
      </w:r>
      <w:proofErr w:type="spellStart"/>
      <w:r w:rsidRPr="00E3202E">
        <w:rPr>
          <w:b w:val="0"/>
          <w:bCs w:val="0"/>
          <w:szCs w:val="24"/>
        </w:rPr>
        <w:t>Aytekin</w:t>
      </w:r>
      <w:proofErr w:type="spellEnd"/>
      <w:r w:rsidRPr="00E3202E">
        <w:rPr>
          <w:b w:val="0"/>
          <w:bCs w:val="0"/>
          <w:szCs w:val="24"/>
        </w:rPr>
        <w:t xml:space="preserve"> FO, </w:t>
      </w:r>
      <w:proofErr w:type="spellStart"/>
      <w:r w:rsidRPr="00E3202E">
        <w:rPr>
          <w:b w:val="0"/>
          <w:bCs w:val="0"/>
          <w:szCs w:val="24"/>
        </w:rPr>
        <w:t>Yenisey</w:t>
      </w:r>
      <w:proofErr w:type="spellEnd"/>
      <w:r w:rsidRPr="00E3202E">
        <w:rPr>
          <w:b w:val="0"/>
          <w:bCs w:val="0"/>
          <w:szCs w:val="24"/>
        </w:rPr>
        <w:t xml:space="preserve"> C, </w:t>
      </w:r>
      <w:proofErr w:type="spellStart"/>
      <w:r w:rsidRPr="00E3202E">
        <w:rPr>
          <w:bCs w:val="0"/>
          <w:szCs w:val="24"/>
        </w:rPr>
        <w:t>Demirkan</w:t>
      </w:r>
      <w:proofErr w:type="spellEnd"/>
      <w:r w:rsidRPr="00E3202E">
        <w:rPr>
          <w:bCs w:val="0"/>
          <w:szCs w:val="24"/>
        </w:rPr>
        <w:t xml:space="preserve"> NC</w:t>
      </w:r>
      <w:r w:rsidRPr="00E3202E">
        <w:rPr>
          <w:b w:val="0"/>
          <w:bCs w:val="0"/>
          <w:szCs w:val="24"/>
        </w:rPr>
        <w:t xml:space="preserve">, </w:t>
      </w:r>
      <w:proofErr w:type="spellStart"/>
      <w:r w:rsidRPr="00E3202E">
        <w:rPr>
          <w:b w:val="0"/>
          <w:bCs w:val="0"/>
          <w:szCs w:val="24"/>
        </w:rPr>
        <w:t>Sacar</w:t>
      </w:r>
      <w:proofErr w:type="spellEnd"/>
      <w:r w:rsidRPr="00E3202E">
        <w:rPr>
          <w:b w:val="0"/>
          <w:bCs w:val="0"/>
          <w:szCs w:val="24"/>
        </w:rPr>
        <w:t xml:space="preserve"> M, </w:t>
      </w:r>
      <w:proofErr w:type="spellStart"/>
      <w:r w:rsidRPr="00E3202E">
        <w:rPr>
          <w:b w:val="0"/>
          <w:bCs w:val="0"/>
          <w:szCs w:val="24"/>
        </w:rPr>
        <w:t>Erdem</w:t>
      </w:r>
      <w:proofErr w:type="spellEnd"/>
      <w:r w:rsidRPr="00E3202E">
        <w:rPr>
          <w:b w:val="0"/>
          <w:bCs w:val="0"/>
          <w:szCs w:val="24"/>
        </w:rPr>
        <w:t xml:space="preserve"> E, </w:t>
      </w:r>
      <w:proofErr w:type="spellStart"/>
      <w:r w:rsidRPr="00E3202E">
        <w:rPr>
          <w:b w:val="0"/>
          <w:bCs w:val="0"/>
          <w:szCs w:val="24"/>
        </w:rPr>
        <w:t>Ozden</w:t>
      </w:r>
      <w:proofErr w:type="spellEnd"/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A. </w:t>
      </w:r>
      <w:proofErr w:type="spellStart"/>
      <w:r w:rsidRPr="00E3202E">
        <w:rPr>
          <w:b w:val="0"/>
          <w:bCs w:val="0"/>
          <w:szCs w:val="24"/>
        </w:rPr>
        <w:t>Pyrrolidine</w:t>
      </w:r>
      <w:proofErr w:type="spellEnd"/>
      <w:r w:rsidRPr="00E3202E">
        <w:rPr>
          <w:b w:val="0"/>
          <w:bCs w:val="0"/>
          <w:szCs w:val="24"/>
        </w:rPr>
        <w:t xml:space="preserve"> </w:t>
      </w:r>
      <w:proofErr w:type="spellStart"/>
      <w:r w:rsidRPr="00E3202E">
        <w:rPr>
          <w:b w:val="0"/>
          <w:bCs w:val="0"/>
          <w:szCs w:val="24"/>
        </w:rPr>
        <w:t>dithiocarbamate</w:t>
      </w:r>
      <w:proofErr w:type="spellEnd"/>
      <w:r w:rsidRPr="00E3202E">
        <w:rPr>
          <w:b w:val="0"/>
          <w:bCs w:val="0"/>
          <w:szCs w:val="24"/>
        </w:rPr>
        <w:t xml:space="preserve"> prevents 60 minutes of warm mesenteric</w:t>
      </w:r>
    </w:p>
    <w:p w:rsidR="00AB32FB" w:rsidRPr="00E3202E" w:rsidRDefault="00AB32FB" w:rsidP="00AB32FB">
      <w:pPr>
        <w:pStyle w:val="GvdeMetni2"/>
        <w:spacing w:after="120"/>
        <w:ind w:left="390"/>
        <w:jc w:val="left"/>
        <w:rPr>
          <w:b w:val="0"/>
          <w:bCs w:val="0"/>
          <w:szCs w:val="24"/>
        </w:rPr>
      </w:pPr>
      <w:r w:rsidRPr="00E3202E">
        <w:rPr>
          <w:b w:val="0"/>
          <w:bCs w:val="0"/>
          <w:szCs w:val="24"/>
        </w:rPr>
        <w:t xml:space="preserve">ischemia/reperfusion injury in rats. Am J Surg. 2007 Aug;194(2):255-62. </w:t>
      </w:r>
      <w:proofErr w:type="spellStart"/>
      <w:r w:rsidRPr="00E3202E">
        <w:rPr>
          <w:b w:val="0"/>
          <w:bCs w:val="0"/>
          <w:szCs w:val="24"/>
        </w:rPr>
        <w:t>PubMed</w:t>
      </w:r>
      <w:proofErr w:type="spellEnd"/>
    </w:p>
    <w:p w:rsidR="00FC20FE" w:rsidRPr="00E3202E" w:rsidRDefault="00AB32FB" w:rsidP="00890667">
      <w:pPr>
        <w:pStyle w:val="GvdeMetni2"/>
        <w:spacing w:after="120"/>
        <w:ind w:left="390"/>
        <w:jc w:val="left"/>
        <w:rPr>
          <w:color w:val="000000"/>
          <w:szCs w:val="24"/>
          <w:lang w:val="tr-TR" w:eastAsia="tr-TR"/>
        </w:rPr>
      </w:pPr>
      <w:r w:rsidRPr="00E3202E">
        <w:rPr>
          <w:b w:val="0"/>
          <w:bCs w:val="0"/>
          <w:szCs w:val="24"/>
        </w:rPr>
        <w:t>PMID: 17618816.</w:t>
      </w:r>
      <w:r w:rsidR="00890667" w:rsidRPr="00E3202E">
        <w:rPr>
          <w:color w:val="000000"/>
          <w:szCs w:val="24"/>
          <w:lang w:val="tr-TR" w:eastAsia="tr-TR"/>
        </w:rPr>
        <w:t xml:space="preserve"> </w:t>
      </w:r>
    </w:p>
    <w:p w:rsidR="00FC20FE" w:rsidRPr="00E3202E" w:rsidRDefault="00FC20FE" w:rsidP="00890667">
      <w:pPr>
        <w:pStyle w:val="GvdeMetni2"/>
        <w:spacing w:after="120"/>
        <w:ind w:left="390"/>
        <w:jc w:val="left"/>
        <w:rPr>
          <w:color w:val="000000"/>
          <w:szCs w:val="24"/>
          <w:lang w:val="tr-TR" w:eastAsia="tr-TR"/>
        </w:rPr>
      </w:pPr>
    </w:p>
    <w:p w:rsidR="00890667" w:rsidRPr="00E3202E" w:rsidRDefault="00FC20FE" w:rsidP="00FC20FE">
      <w:pPr>
        <w:pStyle w:val="GvdeMetni2"/>
        <w:spacing w:after="120"/>
        <w:ind w:left="390"/>
        <w:jc w:val="left"/>
        <w:rPr>
          <w:b w:val="0"/>
          <w:color w:val="000000"/>
          <w:szCs w:val="24"/>
          <w:lang w:val="tr-TR" w:eastAsia="tr-TR"/>
        </w:rPr>
      </w:pPr>
      <w:r w:rsidRPr="00E3202E">
        <w:rPr>
          <w:b w:val="0"/>
          <w:color w:val="000000"/>
          <w:szCs w:val="24"/>
          <w:lang w:val="tr-TR" w:eastAsia="tr-TR"/>
        </w:rPr>
        <w:lastRenderedPageBreak/>
        <w:t xml:space="preserve">11: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Dermoscopic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features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of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conjunctival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,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mucosal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,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and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nail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pigmentations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in a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case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of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Laugier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>-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Hunziker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syndrome</w:t>
      </w:r>
      <w:proofErr w:type="spellEnd"/>
      <w:r w:rsidRPr="00E3202E">
        <w:rPr>
          <w:b w:val="0"/>
          <w:color w:val="000000"/>
          <w:szCs w:val="24"/>
          <w:lang w:val="tr-TR" w:eastAsia="tr-TR"/>
        </w:rPr>
        <w:t xml:space="preserve"> </w:t>
      </w:r>
      <w:r w:rsidR="00890667" w:rsidRPr="00E3202E">
        <w:rPr>
          <w:b w:val="0"/>
          <w:color w:val="000000"/>
          <w:szCs w:val="24"/>
          <w:lang w:val="tr-TR" w:eastAsia="tr-TR"/>
        </w:rPr>
        <w:t xml:space="preserve">Nida Kaçar, Ceren C.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Yildiz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,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Nese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DemirkanDermatol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Pract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Concept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. 2016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Jan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; 6(1): 23–24. 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Published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online 2016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Jan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 xml:space="preserve"> 31. 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doi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>: 10.5826/</w:t>
      </w:r>
      <w:proofErr w:type="spellStart"/>
      <w:r w:rsidR="00890667" w:rsidRPr="00E3202E">
        <w:rPr>
          <w:b w:val="0"/>
          <w:color w:val="000000"/>
          <w:szCs w:val="24"/>
          <w:lang w:val="tr-TR" w:eastAsia="tr-TR"/>
        </w:rPr>
        <w:t>dpc</w:t>
      </w:r>
      <w:proofErr w:type="spellEnd"/>
      <w:r w:rsidR="00890667" w:rsidRPr="00E3202E">
        <w:rPr>
          <w:b w:val="0"/>
          <w:color w:val="000000"/>
          <w:szCs w:val="24"/>
          <w:lang w:val="tr-TR" w:eastAsia="tr-TR"/>
        </w:rPr>
        <w:t>.0601a07</w:t>
      </w:r>
    </w:p>
    <w:p w:rsidR="00FC20FE" w:rsidRPr="00E3202E" w:rsidRDefault="00FC20FE" w:rsidP="0089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202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0667" w:rsidRPr="00E3202E">
        <w:rPr>
          <w:rFonts w:ascii="Times New Roman" w:hAnsi="Times New Roman" w:cs="Times New Roman"/>
          <w:color w:val="000000"/>
          <w:sz w:val="24"/>
          <w:szCs w:val="24"/>
        </w:rPr>
        <w:t>PMCID: PMC4758442</w:t>
      </w:r>
    </w:p>
    <w:p w:rsidR="00890667" w:rsidRPr="00E3202E" w:rsidRDefault="00FC20FE" w:rsidP="0089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 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utility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dermoscopy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examination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ocular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pigmentations</w:t>
      </w:r>
      <w:proofErr w:type="spellEnd"/>
      <w:r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Nida Kaçar, Cem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Yildirim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Nese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Demirkan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, Yunus Bulgu</w:t>
      </w:r>
      <w:r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Dermatol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Pract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 Jul; 8(3): 208–213. 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2018 Jul 31.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: 10.5826/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dpc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.0803a12PMCID: PMC6092070</w:t>
      </w:r>
    </w:p>
    <w:p w:rsidR="00890667" w:rsidRPr="00E3202E" w:rsidRDefault="00890667" w:rsidP="0089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667" w:rsidRPr="00E3202E" w:rsidRDefault="00FC20FE" w:rsidP="0089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3:  β-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Catenin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induces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immortalization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melanocytes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suppressing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p16INK4a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expression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cooperates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N-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melanoma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Véronique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Delmas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Friedrich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Beermann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Silvia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Martinozzi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Suzanne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Carreira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Julien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Ackermann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Mayuko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Kumasaka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Laurence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Denat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Jane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Goodall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Flavie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Luciani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Amaya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Viros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Nese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Demirkan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Boris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Bastian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Colin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Goding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Lionel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Larue</w:t>
      </w:r>
      <w:proofErr w:type="spellEnd"/>
      <w:r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Genes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Dev. 2007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Nov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15; 21(22): 2923–2935.  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: 10.1101/</w:t>
      </w:r>
      <w:proofErr w:type="spellStart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gad</w:t>
      </w:r>
      <w:proofErr w:type="spellEnd"/>
      <w:r w:rsidR="00890667" w:rsidRPr="00E3202E">
        <w:rPr>
          <w:rFonts w:ascii="Times New Roman" w:hAnsi="Times New Roman" w:cs="Times New Roman"/>
          <w:color w:val="000000" w:themeColor="text1"/>
          <w:sz w:val="24"/>
          <w:szCs w:val="24"/>
        </w:rPr>
        <w:t>.450107PMCID: PMC2049194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bCs w:val="0"/>
          <w:color w:val="000000" w:themeColor="text1"/>
          <w:szCs w:val="24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bCs w:val="0"/>
          <w:color w:val="000000" w:themeColor="text1"/>
          <w:szCs w:val="24"/>
        </w:rPr>
        <w:t>1</w:t>
      </w:r>
      <w:r w:rsidR="00890667" w:rsidRPr="00E3202E">
        <w:rPr>
          <w:b w:val="0"/>
          <w:bCs w:val="0"/>
          <w:color w:val="000000" w:themeColor="text1"/>
          <w:szCs w:val="24"/>
        </w:rPr>
        <w:t>4: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Duygulu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Ş. (2018). Generalized eruptive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histiocytosis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diagnosed in light of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dermoscopic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findings.. International journal of dermatology, 57, 355-357.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1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5:Ök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Kekeç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D.,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(2018). A case of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paraneoplastic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pemphigus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with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hypopion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sign and literature review.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Pamukkale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Medical Journal, 11, 81-74.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1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6: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Sezen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Yüksel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(2017). A PEDIATRIC CASE OF SYSTEMIC LUPUS ERYTHEMATOSUS: CLINICAL AND DERMOSCOPIC FINDINGS. DOD Clinical Case Report, 1, 14-18.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1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7: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Coban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Ergin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Ş.,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Tasli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Acer S.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(2015).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Pseudoxanthoma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Elasticum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: A Pediatric Case. TURK DERMATOLOJI DERGISI-TURKISH JOURNAL OF DERMATOLOGY, 9, 195-197.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1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8: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Cosan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Sarbay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Korkmaz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Ergin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Ş.,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Ergin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Ç.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Şanlı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 (2015). Analysis of clinical and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histopathological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findings of PAS positive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dermatophytose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cases.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Pamukkale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Medical Journal, 8, 171-177</w:t>
      </w:r>
    </w:p>
    <w:p w:rsidR="00FC20FE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1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9: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Gamsizkan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Yilmaz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I.,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Buyukbabani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Demirkesen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C.,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Demiriz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Cetin ED.,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Ince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U.,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Akalin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T.,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NC.,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Lebe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Erdem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O.,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Gokoz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O.,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Sakiz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D.,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Demireli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PT.,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Astarci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HM.,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Adim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SB.,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Zemheri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IE.,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Acikalin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A.,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Yaman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Aydin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O.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Bassorgun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CI. (2014). A retrospective multicenter evaluation of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cutaneous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melanomas in Turkey.. Asian Pacific journal of cancer prevention : APJCP, 15, 10451-6.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lastRenderedPageBreak/>
        <w:t>20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Cevahir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Şanlı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 (2014). The investigation of the possible relationship between Coxsackie viruses and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pemphigus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.. International journal of dermatology, 53, 312-5.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1: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Yüksel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Çağlar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Becerir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T.,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Tepeli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Emre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Anddemirkan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Nese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C.,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Yalcin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Ergin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A. (2013). RENAL INVOLVEMENT IN CHILDREN WITH HENOCH SCHONLEIN PURPURA HIGH LEVELOF SERUM PENTRAXIN 3 AND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IgM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IN LESIONAL SKIN. NEPHROLOGY DIALYSIS TRANSPLANTATION, 28,.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2: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(2013). Plantar wart with parallel ridge pattern in a patient with a previous history of melanoma: a diagnostic challenge.. The Australasian journal of dermatology, 54, e78-9.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3: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Şen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Türk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Taşli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L.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Yildiz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(2013). Intravascular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histiocytosis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associated with rheumatoid arthritis.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Pamukkale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Medical Journal, 6, 92-95.</w:t>
      </w: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4: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Tasli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L.,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Kacar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Aydemir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E.H. (2011). What is your diagnosis?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Taniniz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nedir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?.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Turkderm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Deri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Hastaliklari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ve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Frengi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Arsivi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, 45, 222-223.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5: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Korkmaz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Kaçar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Taşlı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L.,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Şanlı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B.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 (2011). An adult case of Heck disease.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Pamukkale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Tıp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Dergisi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, 4, 158-162.</w:t>
      </w:r>
    </w:p>
    <w:p w:rsidR="00890667" w:rsidRPr="00E3202E" w:rsidRDefault="00890667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</w:p>
    <w:p w:rsidR="00890667" w:rsidRPr="00E3202E" w:rsidRDefault="00FC20FE" w:rsidP="00890667">
      <w:pPr>
        <w:pStyle w:val="GvdeMetni2"/>
        <w:spacing w:after="120"/>
        <w:jc w:val="left"/>
        <w:rPr>
          <w:b w:val="0"/>
          <w:color w:val="000000" w:themeColor="text1"/>
          <w:szCs w:val="24"/>
          <w:shd w:val="clear" w:color="auto" w:fill="FFFFFF"/>
        </w:rPr>
      </w:pPr>
      <w:r w:rsidRPr="00E3202E">
        <w:rPr>
          <w:b w:val="0"/>
          <w:color w:val="000000" w:themeColor="text1"/>
          <w:szCs w:val="24"/>
          <w:shd w:val="clear" w:color="auto" w:fill="FFFFFF"/>
        </w:rPr>
        <w:t>2</w:t>
      </w:r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6: Larue L.,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Luciani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F.,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Kumasaka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M.,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Champeval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D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Anddemirkan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N., Bonaventure J. &amp;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Delmas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V. (2009). Bypassing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melanocyte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senescence by beta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catenin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 xml:space="preserve"> A novel way to </w:t>
      </w:r>
      <w:proofErr w:type="spellStart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promotemelanoma</w:t>
      </w:r>
      <w:proofErr w:type="spellEnd"/>
      <w:r w:rsidR="00890667" w:rsidRPr="00E3202E">
        <w:rPr>
          <w:b w:val="0"/>
          <w:color w:val="000000" w:themeColor="text1"/>
          <w:szCs w:val="24"/>
          <w:shd w:val="clear" w:color="auto" w:fill="FFFFFF"/>
        </w:rPr>
        <w:t>. PATHOLOGIE BIOLOGIE, 57, 543-547</w:t>
      </w:r>
    </w:p>
    <w:p w:rsidR="00AB32FB" w:rsidRDefault="00AB32FB" w:rsidP="00AB32FB">
      <w:pPr>
        <w:pStyle w:val="ListeParagraf"/>
        <w:ind w:left="708"/>
      </w:pPr>
    </w:p>
    <w:p w:rsidR="00E92186" w:rsidRDefault="00E92186" w:rsidP="00AB32FB">
      <w:pPr>
        <w:pStyle w:val="ListeParagraf"/>
        <w:ind w:left="390"/>
      </w:pPr>
    </w:p>
    <w:sectPr w:rsidR="00E92186" w:rsidSect="00CC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493"/>
    <w:multiLevelType w:val="hybridMultilevel"/>
    <w:tmpl w:val="65C6D3D0"/>
    <w:lvl w:ilvl="0" w:tplc="1F3A73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686C"/>
    <w:rsid w:val="003F686C"/>
    <w:rsid w:val="00890667"/>
    <w:rsid w:val="00AB32FB"/>
    <w:rsid w:val="00B24BC2"/>
    <w:rsid w:val="00CA31FA"/>
    <w:rsid w:val="00CC1F63"/>
    <w:rsid w:val="00E3202E"/>
    <w:rsid w:val="00E92186"/>
    <w:rsid w:val="00EA335A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BC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B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B32FB"/>
    <w:rPr>
      <w:rFonts w:ascii="Courier New" w:eastAsia="Times New Roman" w:hAnsi="Courier New" w:cs="Courier New"/>
      <w:sz w:val="20"/>
      <w:szCs w:val="20"/>
    </w:rPr>
  </w:style>
  <w:style w:type="paragraph" w:styleId="GvdeMetni2">
    <w:name w:val="Body Text 2"/>
    <w:basedOn w:val="Normal"/>
    <w:link w:val="GvdeMetni2Char"/>
    <w:rsid w:val="00AB3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B32FB"/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2021-11-17T10:36:00Z</dcterms:created>
  <dcterms:modified xsi:type="dcterms:W3CDTF">2021-11-17T10:36:00Z</dcterms:modified>
</cp:coreProperties>
</file>