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CC3A" w14:textId="77777777" w:rsidR="004A2F09" w:rsidRPr="004A2F09" w:rsidRDefault="004A2F09" w:rsidP="004A2F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0"/>
        </w:rPr>
      </w:pPr>
      <w:bookmarkStart w:id="0" w:name="_GoBack"/>
      <w:bookmarkEnd w:id="0"/>
      <w:r w:rsidRPr="004A2F09">
        <w:rPr>
          <w:rFonts w:ascii="Verdana" w:eastAsia="Times New Roman" w:hAnsi="Verdana" w:cs="Times New Roman"/>
          <w:b/>
          <w:sz w:val="28"/>
          <w:szCs w:val="20"/>
        </w:rPr>
        <w:t>ÖZGEÇMİŞ VE ESERLER LİSTESİ</w:t>
      </w:r>
    </w:p>
    <w:p w14:paraId="000CCC3B" w14:textId="77777777" w:rsidR="004A2F09" w:rsidRPr="004A2F09" w:rsidRDefault="004A2F09" w:rsidP="004A2F09">
      <w:pPr>
        <w:spacing w:before="100" w:beforeAutospacing="1" w:after="100" w:afterAutospacing="1" w:line="240" w:lineRule="auto"/>
        <w:rPr>
          <w:rFonts w:ascii="Verdana" w:eastAsia="Arial Unicode MS" w:hAnsi="Verdana" w:cs="Arial Unicode MS"/>
          <w:b/>
          <w:sz w:val="28"/>
          <w:szCs w:val="20"/>
        </w:rPr>
      </w:pPr>
      <w:r w:rsidRPr="004A2F09">
        <w:rPr>
          <w:rFonts w:ascii="Verdana" w:eastAsia="Times New Roman" w:hAnsi="Verdana" w:cs="Times New Roman"/>
          <w:b/>
          <w:sz w:val="28"/>
          <w:szCs w:val="20"/>
        </w:rPr>
        <w:t>ÖZGEÇMİŞ</w:t>
      </w:r>
    </w:p>
    <w:p w14:paraId="000CCC3C" w14:textId="77777777" w:rsidR="004A2F09" w:rsidRPr="004A2F09" w:rsidRDefault="004A2F09" w:rsidP="004A2F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sz w:val="20"/>
          <w:szCs w:val="20"/>
        </w:rPr>
        <w:t>Adı Soyadı:</w:t>
      </w:r>
      <w:r w:rsidRPr="004A2F09">
        <w:rPr>
          <w:rFonts w:ascii="Verdana" w:eastAsia="Times New Roman" w:hAnsi="Verdana" w:cs="Times New Roman"/>
          <w:sz w:val="20"/>
          <w:szCs w:val="20"/>
        </w:rPr>
        <w:t xml:space="preserve"> Nilay ŞEN TÜRK</w:t>
      </w:r>
    </w:p>
    <w:p w14:paraId="000CCC3D" w14:textId="66D18A6D" w:rsidR="004A2F09" w:rsidRDefault="004A2F09" w:rsidP="004A2F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sz w:val="20"/>
          <w:szCs w:val="20"/>
        </w:rPr>
        <w:t>Doğum Tarihi:</w:t>
      </w:r>
      <w:r w:rsidRPr="004A2F09">
        <w:rPr>
          <w:rFonts w:ascii="Verdana" w:eastAsia="Times New Roman" w:hAnsi="Verdana" w:cs="Times New Roman"/>
          <w:sz w:val="20"/>
          <w:szCs w:val="20"/>
        </w:rPr>
        <w:t xml:space="preserve"> 08 Mayıs 1975</w:t>
      </w:r>
    </w:p>
    <w:p w14:paraId="0239B201" w14:textId="77777777" w:rsidR="00CA5A4A" w:rsidRDefault="00CA5A4A" w:rsidP="004A2F0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000CCC3F" w14:textId="62F8EA19" w:rsidR="004A2F09" w:rsidRPr="004A2F09" w:rsidRDefault="004A2F09" w:rsidP="004A2F0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4"/>
        </w:rPr>
      </w:pPr>
      <w:r w:rsidRPr="004A2F09">
        <w:rPr>
          <w:rFonts w:ascii="Verdana" w:eastAsia="Times New Roman" w:hAnsi="Verdana" w:cs="Times New Roman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4A2F09" w:rsidRPr="004A2F09" w14:paraId="000CCC44" w14:textId="77777777" w:rsidTr="00EE63AD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0CCC40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00CCC41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00CCC42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00CCC43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Yıl </w:t>
            </w:r>
          </w:p>
        </w:tc>
      </w:tr>
      <w:tr w:rsidR="004A2F09" w:rsidRPr="004A2F09" w14:paraId="000CCC49" w14:textId="77777777" w:rsidTr="00EE63AD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CCC45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CCC46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0"/>
              </w:rPr>
              <w:t>Tıp Fakültesi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C47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0"/>
              </w:rPr>
              <w:t xml:space="preserve">Ankara 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0CCC48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0"/>
              </w:rPr>
              <w:t xml:space="preserve">1998 </w:t>
            </w:r>
          </w:p>
        </w:tc>
      </w:tr>
      <w:tr w:rsidR="004A2F09" w:rsidRPr="004A2F09" w14:paraId="000CCC4E" w14:textId="77777777" w:rsidTr="00EE63AD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CCC4A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0"/>
              </w:rPr>
              <w:t>Tıpta Uzmanlık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CCC4B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ind w:left="30" w:hanging="24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0"/>
              </w:rPr>
              <w:t>Tıp Fakültesi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CCC4C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CC4D" w14:textId="77777777" w:rsidR="004A2F09" w:rsidRPr="004A2F09" w:rsidRDefault="004A2F09" w:rsidP="004A2F09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0"/>
              </w:rPr>
              <w:t xml:space="preserve">2003 </w:t>
            </w:r>
          </w:p>
        </w:tc>
      </w:tr>
    </w:tbl>
    <w:p w14:paraId="7B3AD27E" w14:textId="77777777" w:rsidR="00CA5A4A" w:rsidRDefault="00CA5A4A" w:rsidP="004A2F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000CCC50" w14:textId="7A6E7992" w:rsidR="004A2F09" w:rsidRPr="004A2F09" w:rsidRDefault="004A2F09" w:rsidP="004A2F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sz w:val="20"/>
          <w:szCs w:val="20"/>
        </w:rPr>
        <w:t xml:space="preserve">Görevler: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755"/>
        <w:gridCol w:w="1440"/>
      </w:tblGrid>
      <w:tr w:rsidR="004A2F09" w:rsidRPr="004A2F09" w14:paraId="000CCC54" w14:textId="77777777" w:rsidTr="00EE63AD">
        <w:tc>
          <w:tcPr>
            <w:tcW w:w="2055" w:type="dxa"/>
            <w:tcBorders>
              <w:bottom w:val="double" w:sz="4" w:space="0" w:color="auto"/>
            </w:tcBorders>
            <w:vAlign w:val="bottom"/>
          </w:tcPr>
          <w:p w14:paraId="000CCC51" w14:textId="77777777" w:rsidR="004A2F09" w:rsidRPr="004A2F09" w:rsidRDefault="004A2F09" w:rsidP="004A2F0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b/>
                <w:bCs/>
                <w:sz w:val="20"/>
                <w:szCs w:val="24"/>
              </w:rPr>
              <w:t xml:space="preserve">Görev </w:t>
            </w:r>
            <w:proofErr w:type="spellStart"/>
            <w:r w:rsidRPr="004A2F09">
              <w:rPr>
                <w:rFonts w:ascii="Verdana" w:eastAsia="Times New Roman" w:hAnsi="Verdana" w:cs="Times New Roman"/>
                <w:b/>
                <w:bCs/>
                <w:sz w:val="20"/>
                <w:szCs w:val="24"/>
              </w:rPr>
              <w:t>Ünvanı</w:t>
            </w:r>
            <w:proofErr w:type="spellEnd"/>
          </w:p>
        </w:tc>
        <w:tc>
          <w:tcPr>
            <w:tcW w:w="5755" w:type="dxa"/>
            <w:tcBorders>
              <w:bottom w:val="double" w:sz="4" w:space="0" w:color="auto"/>
            </w:tcBorders>
            <w:vAlign w:val="bottom"/>
          </w:tcPr>
          <w:p w14:paraId="000CCC52" w14:textId="77777777" w:rsidR="004A2F09" w:rsidRPr="004A2F09" w:rsidRDefault="004A2F09" w:rsidP="004A2F0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b/>
                <w:bCs/>
                <w:sz w:val="20"/>
                <w:szCs w:val="24"/>
              </w:rPr>
              <w:t>Görev Yeri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000CCC53" w14:textId="77777777" w:rsidR="004A2F09" w:rsidRPr="004A2F09" w:rsidRDefault="004A2F09" w:rsidP="004A2F0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b/>
                <w:bCs/>
                <w:sz w:val="20"/>
                <w:szCs w:val="24"/>
              </w:rPr>
              <w:t>Yıl</w:t>
            </w:r>
          </w:p>
        </w:tc>
      </w:tr>
      <w:tr w:rsidR="004A2F09" w:rsidRPr="004A2F09" w14:paraId="000CCC58" w14:textId="77777777" w:rsidTr="00EE63AD">
        <w:tc>
          <w:tcPr>
            <w:tcW w:w="2055" w:type="dxa"/>
            <w:tcBorders>
              <w:top w:val="double" w:sz="4" w:space="0" w:color="auto"/>
              <w:bottom w:val="single" w:sz="4" w:space="0" w:color="auto"/>
            </w:tcBorders>
          </w:tcPr>
          <w:p w14:paraId="000CCC55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Ar.Gör</w:t>
            </w:r>
            <w:proofErr w:type="spellEnd"/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 xml:space="preserve">. Dr.   </w:t>
            </w:r>
          </w:p>
        </w:tc>
        <w:tc>
          <w:tcPr>
            <w:tcW w:w="5755" w:type="dxa"/>
            <w:tcBorders>
              <w:top w:val="double" w:sz="4" w:space="0" w:color="auto"/>
              <w:bottom w:val="single" w:sz="4" w:space="0" w:color="auto"/>
            </w:tcBorders>
          </w:tcPr>
          <w:p w14:paraId="000CCC56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 xml:space="preserve">Tıbbi Patoloji AD </w:t>
            </w:r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Tıp Fakültesi</w:t>
            </w:r>
            <w:r w:rsidRPr="004A2F0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000CCC57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rPr>
                <w:rFonts w:ascii="Verdana" w:eastAsia="Arial Unicode MS" w:hAnsi="Verdana" w:cs="Arial Unicode MS"/>
                <w:sz w:val="20"/>
              </w:rPr>
            </w:pPr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1999-2003</w:t>
            </w:r>
          </w:p>
        </w:tc>
      </w:tr>
      <w:tr w:rsidR="004A2F09" w:rsidRPr="004A2F09" w14:paraId="000CCC5C" w14:textId="77777777" w:rsidTr="00EE63AD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00CCC59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4A2F09">
              <w:rPr>
                <w:rFonts w:ascii="Verdana" w:eastAsia="Calibri" w:hAnsi="Verdana" w:cs="Times New Roman"/>
                <w:sz w:val="20"/>
              </w:rPr>
              <w:t>Ar.Gör</w:t>
            </w:r>
            <w:proofErr w:type="spellEnd"/>
            <w:r w:rsidRPr="004A2F09">
              <w:rPr>
                <w:rFonts w:ascii="Verdana" w:eastAsia="Calibri" w:hAnsi="Verdana" w:cs="Times New Roman"/>
                <w:sz w:val="20"/>
              </w:rPr>
              <w:t>. Uzman Dr.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000CCC5A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 xml:space="preserve">Tıbbi Patoloji AD </w:t>
            </w:r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Tıp Fakültesi</w:t>
            </w:r>
            <w:r w:rsidRPr="004A2F0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0CCC5B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2003-2004</w:t>
            </w:r>
          </w:p>
        </w:tc>
      </w:tr>
      <w:tr w:rsidR="004A2F09" w:rsidRPr="004A2F09" w14:paraId="000CCC60" w14:textId="77777777" w:rsidTr="00EE63AD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00CCC5D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4A2F09">
              <w:rPr>
                <w:rFonts w:ascii="Verdana" w:eastAsia="Calibri" w:hAnsi="Verdana" w:cs="Times New Roman"/>
                <w:sz w:val="20"/>
              </w:rPr>
              <w:t>Öğr.Gör.Dr</w:t>
            </w:r>
            <w:proofErr w:type="spellEnd"/>
            <w:r w:rsidRPr="004A2F09">
              <w:rPr>
                <w:rFonts w:ascii="Verdana" w:eastAsia="Calibri" w:hAnsi="Verdana" w:cs="Times New Roman"/>
                <w:sz w:val="20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000CCC5E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 xml:space="preserve">Tıbbi Patoloji AD </w:t>
            </w:r>
            <w:r w:rsidRPr="004A2F09">
              <w:rPr>
                <w:rFonts w:ascii="Verdana" w:eastAsia="Calibri" w:hAnsi="Verdana" w:cs="Times New Roman"/>
                <w:sz w:val="20"/>
              </w:rPr>
              <w:t>Tıp Fakültesi Pamukkale Üniversitesi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0CCC5F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2004-2006</w:t>
            </w:r>
          </w:p>
        </w:tc>
      </w:tr>
      <w:tr w:rsidR="004A2F09" w:rsidRPr="004A2F09" w14:paraId="000CCC64" w14:textId="77777777" w:rsidTr="00EE63AD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00CCC61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Yrd.Doç</w:t>
            </w:r>
            <w:proofErr w:type="spellEnd"/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000CCC62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 xml:space="preserve">Tıbbi Patoloji AD </w:t>
            </w:r>
            <w:r w:rsidRPr="004A2F09">
              <w:rPr>
                <w:rFonts w:ascii="Verdana" w:eastAsia="Calibri" w:hAnsi="Verdana" w:cs="Times New Roman"/>
                <w:sz w:val="20"/>
              </w:rPr>
              <w:t>Tıp Fakültesi Pamukkale Üniversitesi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0CCC63" w14:textId="77777777" w:rsidR="004A2F09" w:rsidRPr="004A2F09" w:rsidRDefault="004A2F09" w:rsidP="004A2F09">
            <w:pPr>
              <w:spacing w:before="100" w:beforeAutospacing="1" w:after="100" w:afterAutospacing="1" w:line="276" w:lineRule="auto"/>
              <w:rPr>
                <w:rFonts w:ascii="Verdana" w:eastAsia="Arial Unicode MS" w:hAnsi="Verdana" w:cs="Arial Unicode MS"/>
                <w:sz w:val="20"/>
              </w:rPr>
            </w:pPr>
            <w:r w:rsidRPr="004A2F09">
              <w:rPr>
                <w:rFonts w:ascii="Verdana" w:eastAsia="Calibri" w:hAnsi="Verdana" w:cs="Times New Roman"/>
                <w:sz w:val="20"/>
                <w:szCs w:val="20"/>
              </w:rPr>
              <w:t>2006-2012</w:t>
            </w:r>
          </w:p>
        </w:tc>
      </w:tr>
      <w:tr w:rsidR="004A2F09" w:rsidRPr="004A2F09" w14:paraId="000CCC68" w14:textId="77777777" w:rsidTr="00EE63AD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CCC65" w14:textId="77777777" w:rsidR="004A2F09" w:rsidRPr="004A2F09" w:rsidRDefault="004A2F09" w:rsidP="004A2F0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4"/>
              </w:rPr>
            </w:pPr>
            <w:proofErr w:type="spellStart"/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>Doç.Dr</w:t>
            </w:r>
            <w:proofErr w:type="spellEnd"/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CCC66" w14:textId="77777777" w:rsidR="004A2F09" w:rsidRPr="004A2F09" w:rsidRDefault="004A2F09" w:rsidP="004A2F0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 xml:space="preserve">Tıbbi Patoloji AD Tıp Fakültesi Pamukkale Üniversitesi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CCC67" w14:textId="266B4FA2" w:rsidR="004A2F09" w:rsidRPr="004A2F09" w:rsidRDefault="004A2F09" w:rsidP="004A2F0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>2012-</w:t>
            </w:r>
            <w:r w:rsidR="00C37924">
              <w:rPr>
                <w:rFonts w:ascii="Verdana" w:eastAsia="Times New Roman" w:hAnsi="Verdana" w:cs="Times New Roman"/>
                <w:sz w:val="20"/>
                <w:szCs w:val="24"/>
              </w:rPr>
              <w:t>2018</w:t>
            </w:r>
          </w:p>
        </w:tc>
      </w:tr>
      <w:tr w:rsidR="002A7D34" w:rsidRPr="004A2F09" w14:paraId="10507F7E" w14:textId="77777777" w:rsidTr="00EE63AD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22993" w14:textId="789395D1" w:rsidR="002A7D34" w:rsidRPr="004A2F09" w:rsidRDefault="002A7D34" w:rsidP="004A2F0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4"/>
              </w:rPr>
              <w:t>Prof</w:t>
            </w:r>
            <w:r w:rsidR="00C37924">
              <w:rPr>
                <w:rFonts w:ascii="Verdana" w:eastAsia="Times New Roman" w:hAnsi="Verdana" w:cs="Times New Roman"/>
                <w:sz w:val="20"/>
                <w:szCs w:val="24"/>
              </w:rPr>
              <w:t>.Dr</w:t>
            </w:r>
            <w:proofErr w:type="spellEnd"/>
            <w:r w:rsidR="00C37924">
              <w:rPr>
                <w:rFonts w:ascii="Verdana" w:eastAsia="Times New Roman" w:hAnsi="Verdana" w:cs="Times New Roman"/>
                <w:sz w:val="20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1A2A7" w14:textId="2F9CC72E" w:rsidR="002A7D34" w:rsidRPr="004A2F09" w:rsidRDefault="00C37924" w:rsidP="004A2F0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4A2F09">
              <w:rPr>
                <w:rFonts w:ascii="Verdana" w:eastAsia="Times New Roman" w:hAnsi="Verdana" w:cs="Times New Roman"/>
                <w:sz w:val="20"/>
                <w:szCs w:val="24"/>
              </w:rPr>
              <w:t>Tıbbi Patoloji AD Tıp Fakültesi Pamukkale Üniversitesi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9A7A1" w14:textId="29045136" w:rsidR="002A7D34" w:rsidRPr="004A2F09" w:rsidRDefault="00C37924" w:rsidP="004A2F0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</w:rPr>
              <w:t>2018-halen</w:t>
            </w:r>
          </w:p>
        </w:tc>
      </w:tr>
    </w:tbl>
    <w:p w14:paraId="0F265365" w14:textId="77777777" w:rsidR="00CA5A4A" w:rsidRDefault="00CA5A4A" w:rsidP="004A2F09">
      <w:pPr>
        <w:spacing w:before="100" w:beforeAutospacing="1" w:after="20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00CCC6A" w14:textId="1AAA37AB" w:rsidR="004A2F09" w:rsidRPr="004A2F09" w:rsidRDefault="004A2F09" w:rsidP="004A2F09">
      <w:pPr>
        <w:spacing w:before="100" w:beforeAutospacing="1" w:after="20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sz w:val="20"/>
          <w:szCs w:val="20"/>
        </w:rPr>
        <w:t xml:space="preserve">Tıpta Uzmanlık Tezi Başlığı ve Danışman: </w:t>
      </w:r>
    </w:p>
    <w:p w14:paraId="000CCC6B" w14:textId="77777777" w:rsidR="004A2F09" w:rsidRPr="004A2F09" w:rsidRDefault="004A2F09" w:rsidP="004A2F09">
      <w:pPr>
        <w:spacing w:after="200" w:line="240" w:lineRule="auto"/>
        <w:rPr>
          <w:rFonts w:ascii="Verdana" w:eastAsia="Calibri" w:hAnsi="Verdana" w:cs="Times New Roman"/>
          <w:sz w:val="20"/>
          <w:szCs w:val="20"/>
        </w:rPr>
      </w:pPr>
      <w:r w:rsidRPr="004A2F09">
        <w:rPr>
          <w:rFonts w:ascii="Verdana" w:eastAsia="Calibri" w:hAnsi="Verdana" w:cs="Times New Roman"/>
          <w:sz w:val="20"/>
          <w:szCs w:val="20"/>
        </w:rPr>
        <w:t xml:space="preserve">“Mesanenin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Transizyonel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Hücreli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Karsinomlarında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Ki-67, p53, Bcl-2,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Bax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Ekspresyonu ile Histolojik Grade, Patolojik Evre ve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Prognoz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Arasındaki İlişki” (21 Kasım 2003) </w:t>
      </w:r>
    </w:p>
    <w:p w14:paraId="000CCC6C" w14:textId="77777777" w:rsidR="004A2F09" w:rsidRPr="004A2F09" w:rsidRDefault="004A2F09" w:rsidP="004A2F09">
      <w:pPr>
        <w:spacing w:after="20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Danışman Öğretim Üyesi: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Prof.Dr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>. S. Ender DÜZCAN</w:t>
      </w:r>
    </w:p>
    <w:p w14:paraId="35B0B102" w14:textId="77777777" w:rsidR="00CA5A4A" w:rsidRDefault="00CA5A4A" w:rsidP="004A2F09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000CCC6E" w14:textId="4C5A0CFA" w:rsidR="004A2F09" w:rsidRPr="004A2F09" w:rsidRDefault="004A2F09" w:rsidP="004A2F09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sz w:val="20"/>
          <w:szCs w:val="20"/>
        </w:rPr>
        <w:t xml:space="preserve">Bilimsel Kuruluşlara </w:t>
      </w:r>
      <w:proofErr w:type="gramStart"/>
      <w:r w:rsidRPr="004A2F09">
        <w:rPr>
          <w:rFonts w:ascii="Verdana" w:eastAsia="Times New Roman" w:hAnsi="Verdana" w:cs="Times New Roman"/>
          <w:b/>
          <w:sz w:val="20"/>
          <w:szCs w:val="20"/>
        </w:rPr>
        <w:t>Üyelikler :</w:t>
      </w:r>
      <w:proofErr w:type="gramEnd"/>
      <w:r w:rsidRPr="004A2F0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00CCC6F" w14:textId="77777777" w:rsidR="004A2F09" w:rsidRPr="004A2F09" w:rsidRDefault="004A2F09" w:rsidP="004A2F09">
      <w:pPr>
        <w:spacing w:after="20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4A2F09">
        <w:rPr>
          <w:rFonts w:ascii="Verdana" w:eastAsia="Calibri" w:hAnsi="Verdana" w:cs="Times New Roman"/>
          <w:sz w:val="20"/>
          <w:szCs w:val="20"/>
        </w:rPr>
        <w:t xml:space="preserve">2001 - Ege Patoloji Derneği </w:t>
      </w:r>
    </w:p>
    <w:p w14:paraId="000CCC70" w14:textId="77777777" w:rsidR="004A2F09" w:rsidRPr="004A2F09" w:rsidRDefault="004A2F09" w:rsidP="004A2F09">
      <w:pPr>
        <w:spacing w:after="20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4A2F09">
        <w:rPr>
          <w:rFonts w:ascii="Verdana" w:eastAsia="Calibri" w:hAnsi="Verdana" w:cs="Times New Roman"/>
          <w:sz w:val="20"/>
          <w:szCs w:val="20"/>
        </w:rPr>
        <w:t>2003 - Avrupa Patoloji Derneği</w:t>
      </w:r>
    </w:p>
    <w:p w14:paraId="000CCC71" w14:textId="77777777" w:rsidR="004A2F09" w:rsidRPr="004A2F09" w:rsidRDefault="004A2F09" w:rsidP="004A2F09">
      <w:pPr>
        <w:spacing w:after="20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4A2F09">
        <w:rPr>
          <w:rFonts w:ascii="Verdana" w:eastAsia="Calibri" w:hAnsi="Verdana" w:cs="Times New Roman"/>
          <w:sz w:val="20"/>
          <w:szCs w:val="20"/>
        </w:rPr>
        <w:t xml:space="preserve">2004 - Türk Hematoloji Derneği </w:t>
      </w:r>
    </w:p>
    <w:p w14:paraId="000CCC72" w14:textId="77777777" w:rsidR="004A2F09" w:rsidRPr="004A2F09" w:rsidRDefault="004A2F09" w:rsidP="004A2F09">
      <w:pPr>
        <w:spacing w:after="20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4A2F09">
        <w:rPr>
          <w:rFonts w:ascii="Verdana" w:eastAsia="Calibri" w:hAnsi="Verdana" w:cs="Times New Roman"/>
          <w:sz w:val="20"/>
          <w:szCs w:val="20"/>
        </w:rPr>
        <w:t xml:space="preserve">2005 -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Üroonkoloji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Derneği</w:t>
      </w:r>
    </w:p>
    <w:p w14:paraId="080FE03A" w14:textId="77777777" w:rsidR="00CA5A4A" w:rsidRDefault="00CA5A4A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8"/>
          <w:szCs w:val="20"/>
        </w:rPr>
      </w:pPr>
    </w:p>
    <w:p w14:paraId="000CCC76" w14:textId="56835990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sz w:val="28"/>
          <w:szCs w:val="24"/>
        </w:rPr>
      </w:pPr>
      <w:r w:rsidRPr="004A2F09">
        <w:rPr>
          <w:rFonts w:ascii="Verdana" w:eastAsia="Times New Roman" w:hAnsi="Verdana" w:cs="Times New Roman"/>
          <w:b/>
          <w:sz w:val="28"/>
          <w:szCs w:val="20"/>
        </w:rPr>
        <w:lastRenderedPageBreak/>
        <w:t xml:space="preserve">ESERLER </w:t>
      </w:r>
    </w:p>
    <w:p w14:paraId="000CCC77" w14:textId="0D72BCF2" w:rsidR="004A2F09" w:rsidRPr="004A2F09" w:rsidRDefault="004A2F09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4A2F09">
        <w:rPr>
          <w:rFonts w:ascii="Verdana" w:eastAsia="Times New Roman" w:hAnsi="Verdana" w:cs="Times New Roman"/>
          <w:b/>
          <w:sz w:val="24"/>
          <w:szCs w:val="24"/>
          <w:u w:val="single"/>
        </w:rPr>
        <w:t>A. YAYINLAR</w:t>
      </w:r>
    </w:p>
    <w:p w14:paraId="000CCC78" w14:textId="377C723B" w:rsidR="004A2F09" w:rsidRPr="004A2F09" w:rsidRDefault="004A2F09" w:rsidP="004A2F09">
      <w:pPr>
        <w:spacing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4A2F09">
        <w:rPr>
          <w:rFonts w:ascii="Verdana" w:eastAsia="Times New Roman" w:hAnsi="Verdana" w:cs="Times New Roman"/>
          <w:b/>
          <w:sz w:val="24"/>
          <w:szCs w:val="24"/>
        </w:rPr>
        <w:t>A.1</w:t>
      </w:r>
      <w:r w:rsidR="005955B1">
        <w:rPr>
          <w:rFonts w:ascii="Verdana" w:eastAsia="Times New Roman" w:hAnsi="Verdana" w:cs="Times New Roman"/>
          <w:b/>
          <w:sz w:val="24"/>
          <w:szCs w:val="24"/>
        </w:rPr>
        <w:t>.</w:t>
      </w:r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SCI, SCI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Expanded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proofErr w:type="gramStart"/>
      <w:r w:rsidRPr="004A2F09">
        <w:rPr>
          <w:rFonts w:ascii="Verdana" w:eastAsia="Times New Roman" w:hAnsi="Verdana" w:cs="Times New Roman"/>
          <w:b/>
          <w:sz w:val="24"/>
          <w:szCs w:val="24"/>
        </w:rPr>
        <w:t>SSCI  ve</w:t>
      </w:r>
      <w:proofErr w:type="gram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AHCI kapsamındaki dergilerde yayınlanan makaleler (derleme dahildir)</w:t>
      </w:r>
    </w:p>
    <w:p w14:paraId="000CCC79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BidRomanCondensedBold"/>
          <w:b/>
          <w:bCs/>
          <w:color w:val="9A00FF"/>
          <w:sz w:val="20"/>
          <w:szCs w:val="20"/>
        </w:rPr>
      </w:pPr>
      <w:r w:rsidRPr="004A2F09">
        <w:rPr>
          <w:rFonts w:ascii="Verdana" w:eastAsia="Calibri" w:hAnsi="Verdana" w:cs="Times New Roman"/>
          <w:b/>
          <w:bCs/>
          <w:sz w:val="20"/>
          <w:szCs w:val="20"/>
        </w:rPr>
        <w:t>1.</w:t>
      </w:r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Pr="004A2F09">
        <w:rPr>
          <w:rFonts w:ascii="Verdana" w:eastAsia="Calibri" w:hAnsi="Verdana" w:cs="Times New Roman" w:hint="eastAsia"/>
          <w:b/>
          <w:bCs/>
          <w:sz w:val="20"/>
          <w:szCs w:val="20"/>
        </w:rPr>
        <w:t>Ş</w:t>
      </w:r>
      <w:r w:rsidRPr="004A2F09">
        <w:rPr>
          <w:rFonts w:ascii="Verdana" w:eastAsia="Calibri" w:hAnsi="Verdana" w:cs="Times New Roman"/>
          <w:b/>
          <w:bCs/>
          <w:sz w:val="20"/>
          <w:szCs w:val="20"/>
        </w:rPr>
        <w:t>en T</w:t>
      </w:r>
      <w:r w:rsidRPr="004A2F09">
        <w:rPr>
          <w:rFonts w:ascii="Verdana" w:eastAsia="Calibri" w:hAnsi="Verdana" w:cs="Times New Roman" w:hint="eastAsia"/>
          <w:b/>
          <w:bCs/>
          <w:sz w:val="20"/>
          <w:szCs w:val="20"/>
        </w:rPr>
        <w:t>ü</w:t>
      </w:r>
      <w:r w:rsidRPr="004A2F09">
        <w:rPr>
          <w:rFonts w:ascii="Verdana" w:eastAsia="Calibri" w:hAnsi="Verdana" w:cs="Times New Roman"/>
          <w:b/>
          <w:bCs/>
          <w:sz w:val="20"/>
          <w:szCs w:val="20"/>
        </w:rPr>
        <w:t>rk N</w:t>
      </w:r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,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Eski</w:t>
      </w:r>
      <w:r w:rsidRPr="004A2F09">
        <w:rPr>
          <w:rFonts w:ascii="Verdana" w:eastAsia="Calibri" w:hAnsi="Verdana" w:cs="Times New Roman" w:hint="eastAsia"/>
          <w:bCs/>
          <w:sz w:val="20"/>
          <w:szCs w:val="20"/>
        </w:rPr>
        <w:t>ç</w:t>
      </w:r>
      <w:r w:rsidRPr="004A2F09">
        <w:rPr>
          <w:rFonts w:ascii="Verdana" w:eastAsia="Calibri" w:hAnsi="Verdana" w:cs="Times New Roman"/>
          <w:bCs/>
          <w:sz w:val="20"/>
          <w:szCs w:val="20"/>
        </w:rPr>
        <w:t>orap</w:t>
      </w:r>
      <w:r w:rsidRPr="004A2F09">
        <w:rPr>
          <w:rFonts w:ascii="Verdana" w:eastAsia="Calibri" w:hAnsi="Verdana" w:cs="Times New Roman" w:hint="eastAsia"/>
          <w:bCs/>
          <w:sz w:val="20"/>
          <w:szCs w:val="20"/>
        </w:rPr>
        <w:t>ç</w:t>
      </w:r>
      <w:r w:rsidRPr="004A2F09">
        <w:rPr>
          <w:rFonts w:ascii="Verdana" w:eastAsia="Calibri" w:hAnsi="Verdana" w:cs="Times New Roman"/>
          <w:bCs/>
          <w:sz w:val="20"/>
          <w:szCs w:val="20"/>
        </w:rPr>
        <w:t>i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S, Aybek Z, Tuncay L.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The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determination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of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stage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in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nonmuscle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urothelial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carcinoma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: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Staining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pattern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of caspase</w:t>
      </w:r>
      <w:r w:rsidRPr="004A2F09">
        <w:rPr>
          <w:rFonts w:ascii="MS Gothic" w:eastAsia="MS Gothic" w:hAnsi="MS Gothic" w:cs="MS Gothic"/>
          <w:bCs/>
          <w:sz w:val="20"/>
          <w:szCs w:val="20"/>
        </w:rPr>
        <w:t>‑</w:t>
      </w:r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8.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Indian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J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Pathol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Microbiol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61:192-6</w:t>
      </w:r>
      <w:r w:rsidRPr="004A2F09">
        <w:rPr>
          <w:rFonts w:ascii="Verdana" w:eastAsia="Calibri" w:hAnsi="Verdana" w:cs="ArialMT"/>
          <w:sz w:val="20"/>
          <w:szCs w:val="20"/>
        </w:rPr>
        <w:t xml:space="preserve"> (</w:t>
      </w:r>
      <w:r w:rsidRPr="004A2F09">
        <w:rPr>
          <w:rFonts w:ascii="Verdana" w:eastAsia="Calibri" w:hAnsi="Verdana" w:cs="Times New Roman"/>
          <w:sz w:val="20"/>
          <w:szCs w:val="20"/>
        </w:rPr>
        <w:t>2018).</w:t>
      </w:r>
      <w:r w:rsidRPr="004A2F09">
        <w:rPr>
          <w:rFonts w:ascii="Verdana" w:eastAsia="Calibri" w:hAnsi="Verdana" w:cs="Times New Roman"/>
          <w:sz w:val="20"/>
          <w:szCs w:val="20"/>
          <w:lang w:bidi="x-none"/>
        </w:rPr>
        <w:t xml:space="preserve"> </w:t>
      </w:r>
    </w:p>
    <w:p w14:paraId="000CCC7A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Times New Roman"/>
          <w:b/>
          <w:iCs/>
        </w:rPr>
      </w:pPr>
      <w:r w:rsidRPr="004A2F09">
        <w:rPr>
          <w:rFonts w:ascii="Verdana" w:eastAsia="Calibri" w:hAnsi="Verdana" w:cs="Times New Roman"/>
          <w:b/>
          <w:bCs/>
          <w:iCs/>
          <w:sz w:val="20"/>
          <w:szCs w:val="20"/>
        </w:rPr>
        <w:t>2.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Olcucu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M T, Teke K,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Yalcin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S,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Olcucuoglu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E, Caner V, </w:t>
      </w:r>
      <w:r w:rsidRPr="004A2F09">
        <w:rPr>
          <w:rFonts w:ascii="Verdana" w:eastAsia="Calibri" w:hAnsi="Verdana" w:cs="Times New Roman"/>
          <w:b/>
          <w:sz w:val="20"/>
          <w:szCs w:val="20"/>
        </w:rPr>
        <w:t xml:space="preserve">Sen </w:t>
      </w:r>
      <w:proofErr w:type="spellStart"/>
      <w:r w:rsidRPr="004A2F09">
        <w:rPr>
          <w:rFonts w:ascii="Verdana" w:eastAsia="Calibri" w:hAnsi="Verdana" w:cs="Times New Roman"/>
          <w:b/>
          <w:sz w:val="20"/>
          <w:szCs w:val="20"/>
        </w:rPr>
        <w:t>Turk</w:t>
      </w:r>
      <w:proofErr w:type="spellEnd"/>
      <w:r w:rsidRPr="004A2F09">
        <w:rPr>
          <w:rFonts w:ascii="Verdana" w:eastAsia="Calibri" w:hAnsi="Verdana" w:cs="Times New Roman"/>
          <w:b/>
          <w:sz w:val="20"/>
          <w:szCs w:val="20"/>
        </w:rPr>
        <w:t xml:space="preserve"> N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, Tuncay O.L.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Characterizing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the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association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between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toll-like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receptor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subtypes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and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nephrolithiasis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with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renal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ınflammation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in an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animal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model. </w:t>
      </w:r>
      <w:proofErr w:type="spellStart"/>
      <w:r w:rsidRPr="004A2F09">
        <w:rPr>
          <w:rFonts w:ascii="Verdana" w:eastAsia="Calibri" w:hAnsi="Verdana" w:cs="Times New Roman"/>
          <w:color w:val="231F20"/>
          <w:spacing w:val="-5"/>
          <w:sz w:val="20"/>
          <w:szCs w:val="20"/>
          <w:shd w:val="clear" w:color="auto" w:fill="FFFFFF"/>
        </w:rPr>
        <w:t>Urology</w:t>
      </w:r>
      <w:proofErr w:type="spellEnd"/>
      <w:r w:rsidRPr="004A2F09">
        <w:rPr>
          <w:rFonts w:ascii="Verdana" w:eastAsia="Calibri" w:hAnsi="Verdana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4A2F09">
        <w:rPr>
          <w:rFonts w:ascii="Verdana" w:eastAsia="Calibri" w:hAnsi="Verdana" w:cs="Times New Roman"/>
          <w:color w:val="231F20"/>
          <w:spacing w:val="-5"/>
          <w:sz w:val="20"/>
          <w:szCs w:val="20"/>
          <w:shd w:val="clear" w:color="auto" w:fill="FFFFFF"/>
        </w:rPr>
        <w:t xml:space="preserve">111:238.e1–238.e5 (2018). </w:t>
      </w:r>
    </w:p>
    <w:p w14:paraId="000CCC7B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17"/>
          <w:szCs w:val="17"/>
          <w:lang w:eastAsia="tr-TR"/>
        </w:rPr>
      </w:pPr>
      <w:r w:rsidRPr="004A2F09">
        <w:rPr>
          <w:rFonts w:ascii="Verdana" w:eastAsia="Calibri" w:hAnsi="Verdana" w:cs="Times New Roman"/>
          <w:b/>
          <w:iCs/>
        </w:rPr>
        <w:t>3.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 Sabah-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Ozcan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S,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Baser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A,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Olcucu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T,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Barıs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I.C, Elmas L, Tuncay L,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Eskicorapci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S, </w:t>
      </w:r>
      <w:proofErr w:type="spellStart"/>
      <w:r w:rsidRPr="004A2F09">
        <w:rPr>
          <w:rFonts w:ascii="Verdana" w:eastAsia="Calibri" w:hAnsi="Verdana" w:cs="Times New Roman"/>
          <w:b/>
          <w:sz w:val="20"/>
          <w:szCs w:val="20"/>
        </w:rPr>
        <w:t>SenTurk</w:t>
      </w:r>
      <w:proofErr w:type="spellEnd"/>
      <w:r w:rsidRPr="004A2F09">
        <w:rPr>
          <w:rFonts w:ascii="Verdana" w:eastAsia="Calibri" w:hAnsi="Verdana" w:cs="Times New Roman"/>
          <w:b/>
          <w:sz w:val="20"/>
          <w:szCs w:val="20"/>
        </w:rPr>
        <w:t xml:space="preserve"> N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, Caner V. Human TLR gene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family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members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are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differentially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expressed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in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patients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with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urothelial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carcinoma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of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the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bladder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.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Urologic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Oncology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: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Seminars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and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Original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Investigations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hyperlink r:id="rId8" w:tooltip="Urologic oncology." w:history="1">
        <w:proofErr w:type="spellStart"/>
        <w:r w:rsidRPr="004A2F09">
          <w:rPr>
            <w:rFonts w:ascii="Verdana" w:eastAsia="Times New Roman" w:hAnsi="Verdana" w:cs="Arial"/>
            <w:sz w:val="20"/>
            <w:szCs w:val="20"/>
            <w:lang w:eastAsia="tr-TR"/>
          </w:rPr>
          <w:t>Urol</w:t>
        </w:r>
        <w:proofErr w:type="spellEnd"/>
        <w:r w:rsidRPr="004A2F09">
          <w:rPr>
            <w:rFonts w:ascii="Verdana" w:eastAsia="Times New Roman" w:hAnsi="Verdana" w:cs="Arial"/>
            <w:sz w:val="20"/>
            <w:szCs w:val="20"/>
            <w:lang w:eastAsia="tr-TR"/>
          </w:rPr>
          <w:t xml:space="preserve"> </w:t>
        </w:r>
        <w:proofErr w:type="spellStart"/>
        <w:r w:rsidRPr="004A2F09">
          <w:rPr>
            <w:rFonts w:ascii="Verdana" w:eastAsia="Times New Roman" w:hAnsi="Verdana" w:cs="Arial"/>
            <w:sz w:val="20"/>
            <w:szCs w:val="20"/>
            <w:lang w:eastAsia="tr-TR"/>
          </w:rPr>
          <w:t>Oncol</w:t>
        </w:r>
        <w:proofErr w:type="spellEnd"/>
        <w:r w:rsidRPr="004A2F09">
          <w:rPr>
            <w:rFonts w:ascii="Verdana" w:eastAsia="Times New Roman" w:hAnsi="Verdana" w:cs="Arial"/>
            <w:sz w:val="20"/>
            <w:szCs w:val="20"/>
            <w:lang w:eastAsia="tr-TR"/>
          </w:rPr>
          <w:t>.</w:t>
        </w:r>
      </w:hyperlink>
      <w:r w:rsidRPr="004A2F09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gramStart"/>
      <w:r w:rsidRPr="004A2F09">
        <w:rPr>
          <w:rFonts w:ascii="Verdana" w:eastAsia="Times New Roman" w:hAnsi="Verdana" w:cs="Arial"/>
          <w:sz w:val="20"/>
          <w:szCs w:val="20"/>
          <w:lang w:eastAsia="tr-TR"/>
        </w:rPr>
        <w:t>35:674.e</w:t>
      </w:r>
      <w:proofErr w:type="gramEnd"/>
      <w:r w:rsidRPr="004A2F09">
        <w:rPr>
          <w:rFonts w:ascii="Verdana" w:eastAsia="Times New Roman" w:hAnsi="Verdana" w:cs="Arial"/>
          <w:sz w:val="20"/>
          <w:szCs w:val="20"/>
          <w:lang w:eastAsia="tr-TR"/>
        </w:rPr>
        <w:t>11-674.e17 (2017).</w:t>
      </w:r>
    </w:p>
    <w:p w14:paraId="000CCC7C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Times New Roman"/>
          <w:b/>
          <w:lang w:bidi="x-none"/>
        </w:rPr>
      </w:pPr>
      <w:r w:rsidRPr="004A2F09">
        <w:rPr>
          <w:rFonts w:ascii="Verdana" w:eastAsia="Calibri" w:hAnsi="Verdana" w:cs="Arial"/>
          <w:b/>
        </w:rPr>
        <w:t>4.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 Özlülerden Y, Toktaş C, Aybek H,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Küçükatay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V, </w:t>
      </w:r>
      <w:r w:rsidRPr="004A2F09">
        <w:rPr>
          <w:rFonts w:ascii="Verdana" w:eastAsia="Calibri" w:hAnsi="Verdana" w:cs="Times New Roman"/>
          <w:b/>
          <w:sz w:val="20"/>
          <w:szCs w:val="20"/>
        </w:rPr>
        <w:t>Şen Türk N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Zumrutbas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A.E.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The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renoprotective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effects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of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mannitol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and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udenafil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in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renal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ischemia-reperfusion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injury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model.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Investig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Clin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Urol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>. 58:289-295 (2017).</w:t>
      </w:r>
    </w:p>
    <w:p w14:paraId="000CCC7D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Arial"/>
          <w:color w:val="000000"/>
          <w:sz w:val="20"/>
          <w:szCs w:val="20"/>
          <w:shd w:val="clear" w:color="auto" w:fill="FFFFFF"/>
        </w:rPr>
      </w:pPr>
      <w:r w:rsidRPr="004A2F09">
        <w:rPr>
          <w:rFonts w:ascii="Verdana" w:eastAsia="Calibri" w:hAnsi="Verdana" w:cs="Times New Roman"/>
          <w:b/>
          <w:lang w:bidi="x-none"/>
        </w:rPr>
        <w:t xml:space="preserve">5. </w:t>
      </w:r>
      <w:r w:rsidRPr="004A2F09">
        <w:rPr>
          <w:rFonts w:ascii="Verdana" w:eastAsia="Calibri" w:hAnsi="Verdana" w:cs="Times New Roman"/>
          <w:bCs/>
          <w:sz w:val="20"/>
          <w:szCs w:val="20"/>
        </w:rPr>
        <w:t>Bolat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r w:rsidRPr="004A2F09">
        <w:rPr>
          <w:rFonts w:ascii="Verdana" w:eastAsia="Calibri" w:hAnsi="Verdana" w:cs="Times New Roman"/>
          <w:bCs/>
          <w:sz w:val="20"/>
          <w:szCs w:val="20"/>
        </w:rPr>
        <w:t>D, Oltulu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r w:rsidRPr="004A2F09">
        <w:rPr>
          <w:rFonts w:ascii="Verdana" w:eastAsia="Calibri" w:hAnsi="Verdana" w:cs="Times New Roman"/>
          <w:bCs/>
          <w:sz w:val="20"/>
          <w:szCs w:val="20"/>
        </w:rPr>
        <w:t>F, Uysal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A,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Kose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T,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Gunlusoy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B,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Yigitturk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G, </w:t>
      </w:r>
      <w:proofErr w:type="spellStart"/>
      <w:r w:rsidRPr="004A2F09">
        <w:rPr>
          <w:rFonts w:ascii="Verdana" w:eastAsia="Calibri" w:hAnsi="Verdana" w:cs="Times New Roman"/>
          <w:b/>
          <w:bCs/>
          <w:sz w:val="20"/>
          <w:szCs w:val="20"/>
        </w:rPr>
        <w:t>Turk</w:t>
      </w:r>
      <w:proofErr w:type="spellEnd"/>
      <w:r w:rsidRPr="004A2F09">
        <w:rPr>
          <w:rFonts w:ascii="Verdana" w:eastAsia="Calibri" w:hAnsi="Verdana" w:cs="Times New Roman"/>
          <w:b/>
          <w:bCs/>
          <w:sz w:val="20"/>
          <w:szCs w:val="20"/>
        </w:rPr>
        <w:t xml:space="preserve"> N.S</w:t>
      </w:r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, Turan T.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Effects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of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losartan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on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experimental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varicocele-induced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testicular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germ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cell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apoptosis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>.</w:t>
      </w:r>
      <w:r w:rsidRPr="004A2F09">
        <w:rPr>
          <w:rFonts w:ascii="Verdana" w:eastAsia="Calibri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2F09">
        <w:rPr>
          <w:rFonts w:ascii="Verdana" w:eastAsia="Calibri" w:hAnsi="Verdana" w:cs="Arial"/>
          <w:color w:val="000000"/>
          <w:sz w:val="20"/>
          <w:szCs w:val="20"/>
          <w:shd w:val="clear" w:color="auto" w:fill="FFFFFF"/>
        </w:rPr>
        <w:t>Andrologia</w:t>
      </w:r>
      <w:proofErr w:type="spellEnd"/>
      <w:r w:rsidRPr="004A2F09">
        <w:rPr>
          <w:rFonts w:ascii="Verdana" w:eastAsia="Calibri" w:hAnsi="Verdana" w:cs="Arial"/>
          <w:color w:val="000000"/>
          <w:sz w:val="20"/>
          <w:szCs w:val="20"/>
          <w:shd w:val="clear" w:color="auto" w:fill="FFFFFF"/>
        </w:rPr>
        <w:t>. 48:840-6 (2016).</w:t>
      </w:r>
    </w:p>
    <w:p w14:paraId="000CCC7E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4A2F09">
        <w:rPr>
          <w:rFonts w:ascii="Verdana" w:eastAsia="Calibri" w:hAnsi="Verdana" w:cs="Times New Roman"/>
          <w:b/>
          <w:sz w:val="20"/>
          <w:szCs w:val="20"/>
          <w:lang w:bidi="x-none"/>
        </w:rPr>
        <w:t>6.</w:t>
      </w:r>
      <w:r w:rsidRPr="004A2F09">
        <w:rPr>
          <w:rFonts w:ascii="Verdana" w:eastAsia="Calibri" w:hAnsi="Verdana" w:cs="Times New Roman"/>
          <w:sz w:val="20"/>
          <w:szCs w:val="20"/>
          <w:lang w:bidi="x-none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Cetin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GO,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Baris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IC, Caner V,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Sarikepe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B, </w:t>
      </w:r>
      <w:r w:rsidRPr="004A2F09">
        <w:rPr>
          <w:rFonts w:ascii="Verdana" w:eastAsia="Calibri" w:hAnsi="Verdana" w:cs="Times New Roman"/>
          <w:b/>
          <w:bCs/>
          <w:sz w:val="20"/>
          <w:szCs w:val="20"/>
        </w:rPr>
        <w:t xml:space="preserve">Sen </w:t>
      </w:r>
      <w:proofErr w:type="spellStart"/>
      <w:r w:rsidRPr="004A2F09">
        <w:rPr>
          <w:rFonts w:ascii="Verdana" w:eastAsia="Calibri" w:hAnsi="Verdana" w:cs="Times New Roman"/>
          <w:b/>
          <w:bCs/>
          <w:sz w:val="20"/>
          <w:szCs w:val="20"/>
        </w:rPr>
        <w:t>Turk</w:t>
      </w:r>
      <w:proofErr w:type="spellEnd"/>
      <w:r w:rsidRPr="004A2F09">
        <w:rPr>
          <w:rFonts w:ascii="Verdana" w:eastAsia="Calibri" w:hAnsi="Verdana" w:cs="Times New Roman"/>
          <w:b/>
          <w:bCs/>
          <w:sz w:val="20"/>
          <w:szCs w:val="20"/>
        </w:rPr>
        <w:t xml:space="preserve"> N</w:t>
      </w:r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, Tepeli E,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Hacioglu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S, </w:t>
      </w:r>
      <w:proofErr w:type="gramStart"/>
      <w:r w:rsidRPr="004A2F09">
        <w:rPr>
          <w:rFonts w:ascii="Verdana" w:eastAsia="Calibri" w:hAnsi="Verdana" w:cs="Times New Roman"/>
          <w:bCs/>
          <w:sz w:val="20"/>
          <w:szCs w:val="20"/>
        </w:rPr>
        <w:t>Sari</w:t>
      </w:r>
      <w:proofErr w:type="gram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I,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Bagci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G, Keskin A.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Mutational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status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of EZH2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and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CD79B hot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spots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in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mature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B-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cell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non-Hodgkin's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lymphomas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: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novel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CD79B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variations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have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been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revealed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.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Eur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Rev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Med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Pharmacol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sz w:val="20"/>
          <w:szCs w:val="20"/>
        </w:rPr>
        <w:t>Sci</w:t>
      </w:r>
      <w:proofErr w:type="spellEnd"/>
      <w:r w:rsidRPr="004A2F09">
        <w:rPr>
          <w:rFonts w:ascii="Verdana" w:eastAsia="Calibri" w:hAnsi="Verdana" w:cs="Times New Roman"/>
          <w:bCs/>
          <w:sz w:val="20"/>
          <w:szCs w:val="20"/>
        </w:rPr>
        <w:t>. 20(5):830-6 (2016).</w:t>
      </w:r>
    </w:p>
    <w:p w14:paraId="000CCC7F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Times New Roman"/>
          <w:sz w:val="20"/>
          <w:szCs w:val="20"/>
          <w:lang w:bidi="x-none"/>
        </w:rPr>
      </w:pPr>
      <w:r w:rsidRPr="004A2F09">
        <w:rPr>
          <w:rFonts w:ascii="Verdana" w:eastAsia="Calibri" w:hAnsi="Verdana" w:cs="Times New Roman"/>
          <w:b/>
          <w:sz w:val="20"/>
          <w:szCs w:val="20"/>
          <w:lang w:bidi="x-none"/>
        </w:rPr>
        <w:t>7.</w:t>
      </w:r>
      <w:r w:rsidRPr="004A2F09">
        <w:rPr>
          <w:rFonts w:ascii="Verdana" w:eastAsia="Calibri" w:hAnsi="Verdana" w:cs="Times New Roman"/>
          <w:sz w:val="20"/>
          <w:szCs w:val="20"/>
          <w:lang w:bidi="x-none"/>
        </w:rPr>
        <w:t xml:space="preserve"> </w:t>
      </w:r>
      <w:r w:rsidRPr="004A2F09">
        <w:rPr>
          <w:rFonts w:ascii="Verdana" w:eastAsia="AdvTimes-i" w:hAnsi="Verdana" w:cs="Times New Roman"/>
          <w:sz w:val="20"/>
          <w:szCs w:val="20"/>
        </w:rPr>
        <w:t>Neşe N, Kumbarac</w:t>
      </w:r>
      <w:r w:rsidRPr="004A2F09">
        <w:rPr>
          <w:rFonts w:ascii="Verdana" w:eastAsia="AdvTimes-i" w:hAnsi="Verdana" w:cs="Times New Roman" w:hint="eastAsia"/>
          <w:sz w:val="20"/>
          <w:szCs w:val="20"/>
        </w:rPr>
        <w:t>ı</w:t>
      </w:r>
      <w:r w:rsidRPr="004A2F09">
        <w:rPr>
          <w:rFonts w:ascii="Verdana" w:eastAsia="AdvTimes-i" w:hAnsi="Verdana" w:cs="Times New Roman"/>
          <w:sz w:val="20"/>
          <w:szCs w:val="20"/>
        </w:rPr>
        <w:t xml:space="preserve"> B.S, Baydar D.E, K</w:t>
      </w:r>
      <w:r w:rsidRPr="004A2F09">
        <w:rPr>
          <w:rFonts w:ascii="Verdana" w:eastAsia="AdvTimes-i" w:hAnsi="Verdana" w:cs="Times New Roman" w:hint="eastAsia"/>
          <w:sz w:val="20"/>
          <w:szCs w:val="20"/>
        </w:rPr>
        <w:t>ı</w:t>
      </w:r>
      <w:r w:rsidRPr="004A2F09">
        <w:rPr>
          <w:rFonts w:ascii="Verdana" w:eastAsia="AdvTimes-i" w:hAnsi="Verdana" w:cs="Times New Roman"/>
          <w:sz w:val="20"/>
          <w:szCs w:val="20"/>
        </w:rPr>
        <w:t>l</w:t>
      </w:r>
      <w:r w:rsidRPr="004A2F09">
        <w:rPr>
          <w:rFonts w:ascii="Verdana" w:eastAsia="AdvTimes-i" w:hAnsi="Verdana" w:cs="Times New Roman" w:hint="eastAsia"/>
          <w:sz w:val="20"/>
          <w:szCs w:val="20"/>
        </w:rPr>
        <w:t>ı</w:t>
      </w:r>
      <w:r w:rsidRPr="004A2F09">
        <w:rPr>
          <w:rFonts w:ascii="Verdana" w:eastAsia="AdvTimes-i" w:hAnsi="Verdana" w:cs="Times New Roman"/>
          <w:sz w:val="20"/>
          <w:szCs w:val="20"/>
        </w:rPr>
        <w:t>çaslan I, Sar</w:t>
      </w:r>
      <w:r w:rsidRPr="004A2F09">
        <w:rPr>
          <w:rFonts w:ascii="Verdana" w:eastAsia="AdvTimes-i" w:hAnsi="Verdana" w:cs="Times New Roman" w:hint="eastAsia"/>
          <w:sz w:val="20"/>
          <w:szCs w:val="20"/>
        </w:rPr>
        <w:t>ı</w:t>
      </w:r>
      <w:r w:rsidRPr="004A2F09">
        <w:rPr>
          <w:rFonts w:ascii="Verdana" w:eastAsia="AdvTimes-i" w:hAnsi="Verdana" w:cs="Times New Roman"/>
          <w:sz w:val="20"/>
          <w:szCs w:val="20"/>
        </w:rPr>
        <w:t xml:space="preserve"> A.A, Şen S, Gönül I.I, </w:t>
      </w:r>
      <w:proofErr w:type="spellStart"/>
      <w:r w:rsidRPr="004A2F09">
        <w:rPr>
          <w:rFonts w:ascii="Verdana" w:eastAsia="AdvTimes-i" w:hAnsi="Verdana" w:cs="Times New Roman"/>
          <w:sz w:val="20"/>
          <w:szCs w:val="20"/>
        </w:rPr>
        <w:t>Kankaya</w:t>
      </w:r>
      <w:proofErr w:type="spellEnd"/>
      <w:r w:rsidRPr="004A2F09">
        <w:rPr>
          <w:rFonts w:ascii="Verdana" w:eastAsia="AdvTimes-i" w:hAnsi="Verdana" w:cs="Times New Roman"/>
          <w:sz w:val="20"/>
          <w:szCs w:val="20"/>
        </w:rPr>
        <w:t xml:space="preserve"> D, Özlük Y, </w:t>
      </w:r>
      <w:proofErr w:type="spellStart"/>
      <w:r w:rsidRPr="004A2F09">
        <w:rPr>
          <w:rFonts w:ascii="Verdana" w:eastAsia="AdvTimes-i" w:hAnsi="Verdana" w:cs="Times New Roman"/>
          <w:sz w:val="20"/>
          <w:szCs w:val="20"/>
        </w:rPr>
        <w:t>Ermete</w:t>
      </w:r>
      <w:proofErr w:type="spellEnd"/>
      <w:r w:rsidRPr="004A2F09">
        <w:rPr>
          <w:rFonts w:ascii="Verdana" w:eastAsia="AdvTimes-i" w:hAnsi="Verdana" w:cs="Times New Roman"/>
          <w:sz w:val="20"/>
          <w:szCs w:val="20"/>
        </w:rPr>
        <w:t xml:space="preserve"> M, </w:t>
      </w:r>
      <w:proofErr w:type="spellStart"/>
      <w:r w:rsidRPr="004A2F09">
        <w:rPr>
          <w:rFonts w:ascii="Verdana" w:eastAsia="AdvTimes-i" w:hAnsi="Verdana" w:cs="Times New Roman"/>
          <w:sz w:val="20"/>
          <w:szCs w:val="20"/>
        </w:rPr>
        <w:t>Özağarı</w:t>
      </w:r>
      <w:proofErr w:type="spellEnd"/>
      <w:r w:rsidRPr="004A2F09">
        <w:rPr>
          <w:rFonts w:ascii="Verdana" w:eastAsia="AdvTimes-i" w:hAnsi="Verdana" w:cs="Times New Roman"/>
          <w:sz w:val="20"/>
          <w:szCs w:val="20"/>
        </w:rPr>
        <w:t xml:space="preserve"> A, Bal N, Kiremitçi S, Y</w:t>
      </w:r>
      <w:r w:rsidRPr="004A2F09">
        <w:rPr>
          <w:rFonts w:ascii="Verdana" w:eastAsia="AdvTimes-i" w:hAnsi="Verdana" w:cs="Times New Roman" w:hint="eastAsia"/>
          <w:sz w:val="20"/>
          <w:szCs w:val="20"/>
        </w:rPr>
        <w:t>ı</w:t>
      </w:r>
      <w:r w:rsidRPr="004A2F09">
        <w:rPr>
          <w:rFonts w:ascii="Verdana" w:eastAsia="AdvTimes-i" w:hAnsi="Verdana" w:cs="Times New Roman"/>
          <w:sz w:val="20"/>
          <w:szCs w:val="20"/>
        </w:rPr>
        <w:t>ld</w:t>
      </w:r>
      <w:r w:rsidRPr="004A2F09">
        <w:rPr>
          <w:rFonts w:ascii="Verdana" w:eastAsia="AdvTimes-i" w:hAnsi="Verdana" w:cs="Times New Roman" w:hint="eastAsia"/>
          <w:sz w:val="20"/>
          <w:szCs w:val="20"/>
        </w:rPr>
        <w:t>ı</w:t>
      </w:r>
      <w:r w:rsidRPr="004A2F09">
        <w:rPr>
          <w:rFonts w:ascii="Verdana" w:eastAsia="AdvTimes-i" w:hAnsi="Verdana" w:cs="Times New Roman"/>
          <w:sz w:val="20"/>
          <w:szCs w:val="20"/>
        </w:rPr>
        <w:t xml:space="preserve">z K, Tuna B, </w:t>
      </w:r>
      <w:r w:rsidRPr="004A2F09">
        <w:rPr>
          <w:rFonts w:ascii="Verdana" w:eastAsia="AdvTimes-i" w:hAnsi="Verdana" w:cs="Times New Roman"/>
          <w:b/>
          <w:sz w:val="20"/>
          <w:szCs w:val="20"/>
        </w:rPr>
        <w:t>Şen N</w:t>
      </w:r>
      <w:r w:rsidRPr="004A2F09">
        <w:rPr>
          <w:rFonts w:ascii="Verdana" w:eastAsia="AdvTimes-i" w:hAnsi="Verdana" w:cs="Times New Roman"/>
          <w:sz w:val="20"/>
          <w:szCs w:val="20"/>
        </w:rPr>
        <w:t>, Yörükoğlu K.</w:t>
      </w:r>
      <w:r w:rsidRPr="004A2F09">
        <w:rPr>
          <w:rFonts w:ascii="Verdana" w:eastAsia="Calibri" w:hAnsi="Verdana" w:cs="AdvStone"/>
          <w:sz w:val="20"/>
          <w:szCs w:val="20"/>
        </w:rPr>
        <w:t xml:space="preserve"> Small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cell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carcinomas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of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the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bladder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highly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express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somatostatin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receptor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type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gramStart"/>
      <w:r w:rsidRPr="004A2F09">
        <w:rPr>
          <w:rFonts w:ascii="Verdana" w:eastAsia="Calibri" w:hAnsi="Verdana" w:cs="AdvStone"/>
          <w:sz w:val="20"/>
          <w:szCs w:val="20"/>
        </w:rPr>
        <w:t>2a</w:t>
      </w:r>
      <w:proofErr w:type="gramEnd"/>
      <w:r w:rsidRPr="004A2F09">
        <w:rPr>
          <w:rFonts w:ascii="Verdana" w:eastAsia="Calibri" w:hAnsi="Verdana" w:cs="AdvStone"/>
          <w:sz w:val="20"/>
          <w:szCs w:val="20"/>
        </w:rPr>
        <w:t xml:space="preserve">: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ımpact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on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prognosis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and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treatment</w:t>
      </w:r>
      <w:proofErr w:type="spellEnd"/>
      <w:r w:rsidRPr="004A2F09">
        <w:rPr>
          <w:rFonts w:ascii="Verdana" w:eastAsia="Calibri" w:hAnsi="Verdana" w:cs="AdvStone-i"/>
          <w:sz w:val="20"/>
          <w:szCs w:val="20"/>
        </w:rPr>
        <w:t>—</w:t>
      </w:r>
      <w:r w:rsidRPr="004A2F09">
        <w:rPr>
          <w:rFonts w:ascii="Verdana" w:eastAsia="Calibri" w:hAnsi="Verdana" w:cs="AdvStone"/>
          <w:sz w:val="20"/>
          <w:szCs w:val="20"/>
        </w:rPr>
        <w:t xml:space="preserve">a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multicenter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study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of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Urooncology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Society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, </w:t>
      </w:r>
      <w:proofErr w:type="spellStart"/>
      <w:r w:rsidRPr="004A2F09">
        <w:rPr>
          <w:rFonts w:ascii="Verdana" w:eastAsia="Calibri" w:hAnsi="Verdana" w:cs="AdvStone"/>
          <w:sz w:val="20"/>
          <w:szCs w:val="20"/>
        </w:rPr>
        <w:t>Turkey</w:t>
      </w:r>
      <w:proofErr w:type="spellEnd"/>
      <w:r w:rsidRPr="004A2F09">
        <w:rPr>
          <w:rFonts w:ascii="Verdana" w:eastAsia="Calibri" w:hAnsi="Verdana" w:cs="AdvStone"/>
          <w:sz w:val="20"/>
          <w:szCs w:val="20"/>
        </w:rPr>
        <w:t xml:space="preserve">. </w:t>
      </w:r>
      <w:hyperlink r:id="rId9" w:tooltip="Applied immunohistochemistry &amp; molecular morphology : AIMM." w:history="1">
        <w:proofErr w:type="spellStart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>Appl</w:t>
        </w:r>
        <w:proofErr w:type="spellEnd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>Immunohistochem</w:t>
        </w:r>
        <w:proofErr w:type="spellEnd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>Mol</w:t>
        </w:r>
        <w:proofErr w:type="spellEnd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>Morphol</w:t>
        </w:r>
        <w:proofErr w:type="spellEnd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>.</w:t>
        </w:r>
      </w:hyperlink>
      <w:r w:rsidRPr="004A2F09">
        <w:rPr>
          <w:rFonts w:ascii="Verdana" w:eastAsia="Calibri" w:hAnsi="Verdana" w:cs="Arial"/>
          <w:sz w:val="20"/>
          <w:szCs w:val="20"/>
          <w:shd w:val="clear" w:color="auto" w:fill="FFFFFF"/>
        </w:rPr>
        <w:t> 24(4):253-60 (2016).</w:t>
      </w:r>
    </w:p>
    <w:p w14:paraId="000CCC80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4A2F09">
        <w:rPr>
          <w:rFonts w:ascii="Verdana" w:eastAsia="Calibri" w:hAnsi="Verdana" w:cs="Times New Roman"/>
          <w:b/>
          <w:sz w:val="20"/>
          <w:szCs w:val="20"/>
        </w:rPr>
        <w:t>8.</w:t>
      </w:r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Pr="004A2F09">
        <w:rPr>
          <w:rFonts w:ascii="Verdana" w:eastAsia="Calibri" w:hAnsi="Verdana" w:cs="Times New Roman"/>
          <w:iCs/>
          <w:sz w:val="20"/>
          <w:szCs w:val="20"/>
        </w:rPr>
        <w:t>Caner V</w:t>
      </w:r>
      <w:r w:rsidRPr="004A2F09">
        <w:rPr>
          <w:rFonts w:ascii="Verdana" w:eastAsia="Calibri" w:hAnsi="Verdana" w:cs="Times New Roman"/>
          <w:b/>
          <w:iCs/>
          <w:sz w:val="20"/>
          <w:szCs w:val="20"/>
        </w:rPr>
        <w:t xml:space="preserve">, Sen </w:t>
      </w:r>
      <w:proofErr w:type="spellStart"/>
      <w:r w:rsidRPr="004A2F09">
        <w:rPr>
          <w:rFonts w:ascii="Verdana" w:eastAsia="Calibri" w:hAnsi="Verdana" w:cs="Times New Roman"/>
          <w:b/>
          <w:iCs/>
          <w:sz w:val="20"/>
          <w:szCs w:val="20"/>
        </w:rPr>
        <w:t>Turk</w:t>
      </w:r>
      <w:proofErr w:type="spellEnd"/>
      <w:r w:rsidRPr="004A2F09">
        <w:rPr>
          <w:rFonts w:ascii="Verdana" w:eastAsia="Calibri" w:hAnsi="Verdana" w:cs="Times New Roman"/>
          <w:b/>
          <w:iCs/>
          <w:sz w:val="20"/>
          <w:szCs w:val="20"/>
        </w:rPr>
        <w:t xml:space="preserve"> N</w:t>
      </w:r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,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Baris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IC,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Cetin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GO, Tepeli E,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Hacioglu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S, </w:t>
      </w:r>
      <w:proofErr w:type="gramStart"/>
      <w:r w:rsidRPr="004A2F09">
        <w:rPr>
          <w:rFonts w:ascii="Verdana" w:eastAsia="Calibri" w:hAnsi="Verdana" w:cs="Times New Roman"/>
          <w:iCs/>
          <w:sz w:val="20"/>
          <w:szCs w:val="20"/>
        </w:rPr>
        <w:t>Sari</w:t>
      </w:r>
      <w:proofErr w:type="gram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I,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Zencir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S,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Dogu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MH,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Bagci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G, Keskin A. “MYD88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expression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and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L265P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mutation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in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mature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B-Cell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Non-Hodgkin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iCs/>
          <w:sz w:val="20"/>
          <w:szCs w:val="20"/>
        </w:rPr>
        <w:t>Lymphomas</w:t>
      </w:r>
      <w:proofErr w:type="spellEnd"/>
      <w:r w:rsidRPr="004A2F09">
        <w:rPr>
          <w:rFonts w:ascii="Verdana" w:eastAsia="Calibri" w:hAnsi="Verdana" w:cs="Times New Roman"/>
          <w:iCs/>
          <w:sz w:val="20"/>
          <w:szCs w:val="20"/>
        </w:rPr>
        <w:t xml:space="preserve">”, </w:t>
      </w:r>
      <w:proofErr w:type="spellStart"/>
      <w:r w:rsidRPr="004A2F09">
        <w:rPr>
          <w:rFonts w:ascii="Verdana" w:eastAsia="Calibri" w:hAnsi="Verdana" w:cs="Times New Roman"/>
          <w:bCs/>
          <w:i/>
          <w:iCs/>
          <w:sz w:val="20"/>
          <w:szCs w:val="20"/>
        </w:rPr>
        <w:t>Genet</w:t>
      </w:r>
      <w:proofErr w:type="spellEnd"/>
      <w:r w:rsidRPr="004A2F09">
        <w:rPr>
          <w:rFonts w:ascii="Verdana" w:eastAsia="Calibri" w:hAnsi="Verdana" w:cs="Times New Roman"/>
          <w:bCs/>
          <w:i/>
          <w:iCs/>
          <w:sz w:val="20"/>
          <w:szCs w:val="20"/>
        </w:rPr>
        <w:t xml:space="preserve"> Test </w:t>
      </w:r>
      <w:proofErr w:type="spellStart"/>
      <w:r w:rsidRPr="004A2F09">
        <w:rPr>
          <w:rFonts w:ascii="Verdana" w:eastAsia="Calibri" w:hAnsi="Verdana" w:cs="Times New Roman"/>
          <w:bCs/>
          <w:i/>
          <w:iCs/>
          <w:sz w:val="20"/>
          <w:szCs w:val="20"/>
        </w:rPr>
        <w:t>Mol</w:t>
      </w:r>
      <w:proofErr w:type="spellEnd"/>
      <w:r w:rsidRPr="004A2F09">
        <w:rPr>
          <w:rFonts w:ascii="Verdana" w:eastAsia="Calibri" w:hAnsi="Verdana" w:cs="Times New Roman"/>
          <w:bCs/>
          <w:i/>
          <w:iCs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i/>
          <w:iCs/>
          <w:sz w:val="20"/>
          <w:szCs w:val="20"/>
        </w:rPr>
        <w:t>Biomarkers</w:t>
      </w:r>
      <w:proofErr w:type="spellEnd"/>
      <w:r w:rsidRPr="004A2F09">
        <w:rPr>
          <w:rFonts w:ascii="Verdana" w:eastAsia="Calibri" w:hAnsi="Verdana" w:cs="Times New Roman"/>
          <w:bCs/>
          <w:i/>
          <w:iCs/>
          <w:sz w:val="20"/>
          <w:szCs w:val="20"/>
        </w:rPr>
        <w:t xml:space="preserve">, </w:t>
      </w:r>
      <w:r w:rsidRPr="004A2F09">
        <w:rPr>
          <w:rFonts w:ascii="Verdana" w:eastAsia="Calibri" w:hAnsi="Verdana" w:cs="Times New Roman"/>
          <w:bCs/>
          <w:iCs/>
          <w:sz w:val="20"/>
          <w:szCs w:val="20"/>
        </w:rPr>
        <w:t xml:space="preserve">19(7):372-8 (2015). </w:t>
      </w:r>
    </w:p>
    <w:p w14:paraId="000CCC81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Times New Roman"/>
          <w:i/>
          <w:iCs/>
          <w:color w:val="000000"/>
          <w:sz w:val="20"/>
          <w:szCs w:val="20"/>
        </w:rPr>
      </w:pPr>
      <w:r w:rsidRPr="004A2F09">
        <w:rPr>
          <w:rFonts w:ascii="Verdana" w:eastAsia="Calibri" w:hAnsi="Verdana" w:cs="Arial"/>
          <w:b/>
          <w:color w:val="000000"/>
          <w:sz w:val="20"/>
          <w:szCs w:val="20"/>
        </w:rPr>
        <w:t xml:space="preserve">9. </w:t>
      </w:r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Kutlu M, Ergin Ç, </w:t>
      </w:r>
      <w:r w:rsidRPr="004A2F09">
        <w:rPr>
          <w:rFonts w:ascii="Verdana" w:eastAsia="Calibri" w:hAnsi="Verdana" w:cs="Times New Roman"/>
          <w:b/>
          <w:color w:val="000000"/>
          <w:sz w:val="20"/>
          <w:szCs w:val="20"/>
        </w:rPr>
        <w:t>Şen-Türk N</w:t>
      </w:r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,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Sayin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-Kutlu S,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Zorbozan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O, Akalın Şe, Şahin B,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Çobankara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V, Demirkan N.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Acute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i/>
          <w:iCs/>
          <w:color w:val="000000"/>
          <w:sz w:val="20"/>
          <w:szCs w:val="20"/>
        </w:rPr>
        <w:t>Brucella</w:t>
      </w:r>
      <w:proofErr w:type="spellEnd"/>
      <w:r w:rsidRPr="004A2F09">
        <w:rPr>
          <w:rFonts w:ascii="Verdana" w:eastAsia="Calibri" w:hAnsi="Verdana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i/>
          <w:iCs/>
          <w:color w:val="000000"/>
          <w:sz w:val="20"/>
          <w:szCs w:val="20"/>
        </w:rPr>
        <w:t>melitensis</w:t>
      </w:r>
      <w:proofErr w:type="spellEnd"/>
      <w:r w:rsidRPr="004A2F09">
        <w:rPr>
          <w:rFonts w:ascii="Verdana" w:eastAsia="Calibri" w:hAnsi="Verdana" w:cs="Times New Roman"/>
          <w:bCs/>
          <w:i/>
          <w:iCs/>
          <w:color w:val="000000"/>
          <w:sz w:val="20"/>
          <w:szCs w:val="20"/>
        </w:rPr>
        <w:t xml:space="preserve"> </w:t>
      </w:r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M16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infection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model in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mice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treated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with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tumor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necrosis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factor-alpha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inhibitors</w:t>
      </w:r>
      <w:proofErr w:type="spellEnd"/>
      <w:r w:rsidRPr="004A2F09">
        <w:rPr>
          <w:rFonts w:ascii="Verdana" w:eastAsia="Calibri" w:hAnsi="Verdana" w:cs="Times New Roman"/>
          <w:bCs/>
          <w:color w:val="000000"/>
          <w:sz w:val="20"/>
          <w:szCs w:val="20"/>
        </w:rPr>
        <w:t>.</w:t>
      </w:r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Pr="004A2F09">
        <w:rPr>
          <w:rFonts w:ascii="Verdana" w:eastAsia="Calibri" w:hAnsi="Verdana" w:cs="Times New Roman"/>
          <w:iCs/>
          <w:color w:val="000000"/>
          <w:sz w:val="20"/>
          <w:szCs w:val="20"/>
        </w:rPr>
        <w:t xml:space="preserve">J </w:t>
      </w:r>
      <w:proofErr w:type="spellStart"/>
      <w:r w:rsidRPr="004A2F09">
        <w:rPr>
          <w:rFonts w:ascii="Verdana" w:eastAsia="Calibri" w:hAnsi="Verdana" w:cs="Times New Roman"/>
          <w:iCs/>
          <w:color w:val="000000"/>
          <w:sz w:val="20"/>
          <w:szCs w:val="20"/>
        </w:rPr>
        <w:t>Infect</w:t>
      </w:r>
      <w:proofErr w:type="spellEnd"/>
      <w:r w:rsidRPr="004A2F09">
        <w:rPr>
          <w:rFonts w:ascii="Verdana" w:eastAsia="Calibri" w:hAnsi="Verdana" w:cs="Times New Roman"/>
          <w:iCs/>
          <w:color w:val="000000"/>
          <w:sz w:val="20"/>
          <w:szCs w:val="20"/>
        </w:rPr>
        <w:t xml:space="preserve"> Dev </w:t>
      </w:r>
      <w:proofErr w:type="spellStart"/>
      <w:r w:rsidRPr="004A2F09">
        <w:rPr>
          <w:rFonts w:ascii="Verdana" w:eastAsia="Calibri" w:hAnsi="Verdana" w:cs="Times New Roman"/>
          <w:iCs/>
          <w:color w:val="000000"/>
          <w:sz w:val="20"/>
          <w:szCs w:val="20"/>
        </w:rPr>
        <w:t>Ctries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; 9(2):141-148 (2015)</w:t>
      </w:r>
      <w:r w:rsidRPr="004A2F09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.</w:t>
      </w:r>
      <w:r w:rsidRPr="004A2F09">
        <w:rPr>
          <w:rFonts w:ascii="Verdana" w:eastAsia="Calibri" w:hAnsi="Verdana" w:cs="Arial"/>
          <w:color w:val="000000"/>
          <w:sz w:val="20"/>
          <w:szCs w:val="20"/>
          <w:lang w:bidi="x-none"/>
        </w:rPr>
        <w:t xml:space="preserve"> </w:t>
      </w:r>
    </w:p>
    <w:p w14:paraId="000CCC82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Calibri" w:hAnsi="Verdana" w:cs="Franklin Gothic Book"/>
          <w:sz w:val="20"/>
          <w:szCs w:val="20"/>
        </w:rPr>
      </w:pPr>
      <w:r w:rsidRPr="004A2F09">
        <w:rPr>
          <w:rFonts w:ascii="Verdana" w:eastAsia="Calibri" w:hAnsi="Verdana" w:cs="Times New Roman"/>
          <w:b/>
          <w:sz w:val="20"/>
          <w:szCs w:val="20"/>
        </w:rPr>
        <w:t xml:space="preserve">10.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Alur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İ, Dodurga Y, Güneş T,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Eroglu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C,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Durna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F, </w:t>
      </w:r>
      <w:r w:rsidRPr="004A2F09">
        <w:rPr>
          <w:rFonts w:ascii="Verdana" w:eastAsia="Calibri" w:hAnsi="Verdana" w:cs="Times New Roman"/>
          <w:b/>
          <w:color w:val="000000"/>
          <w:sz w:val="20"/>
          <w:szCs w:val="20"/>
        </w:rPr>
        <w:t>Şen Türk N</w:t>
      </w:r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, Adıgüzel E, Emrecan B.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Effects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of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endovenous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laser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ablation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on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vascular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tissue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: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molecular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genetics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approach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.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Int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J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Clin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Exp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>Med</w:t>
      </w:r>
      <w:proofErr w:type="spellEnd"/>
      <w:r w:rsidRPr="004A2F09">
        <w:rPr>
          <w:rFonts w:ascii="Verdana" w:eastAsia="Calibri" w:hAnsi="Verdana" w:cs="Times New Roman"/>
          <w:color w:val="000000"/>
          <w:sz w:val="20"/>
          <w:szCs w:val="20"/>
        </w:rPr>
        <w:t xml:space="preserve"> 8(7):11043-11047 (2015).</w:t>
      </w:r>
    </w:p>
    <w:p w14:paraId="000CCC83" w14:textId="77777777" w:rsidR="004A2F09" w:rsidRPr="004A2F09" w:rsidRDefault="004A2F09" w:rsidP="004A2F09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Calibri" w:hAnsi="Verdana" w:cs="Arial"/>
          <w:sz w:val="20"/>
          <w:szCs w:val="20"/>
          <w:shd w:val="clear" w:color="auto" w:fill="FFFFFF"/>
        </w:rPr>
      </w:pPr>
      <w:r w:rsidRPr="004A2F09">
        <w:rPr>
          <w:rFonts w:ascii="Verdana" w:eastAsia="Calibri" w:hAnsi="Verdana" w:cs="Helvetica-Bold"/>
          <w:b/>
          <w:bCs/>
          <w:sz w:val="20"/>
          <w:szCs w:val="20"/>
        </w:rPr>
        <w:t xml:space="preserve">11.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Erbıs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H,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Aykota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M.R,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Ozturk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B,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Kabay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B, Sungurtekin U,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Ozden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A,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Yenisey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C, </w:t>
      </w:r>
      <w:r w:rsidRPr="004A2F09">
        <w:rPr>
          <w:rFonts w:ascii="Verdana" w:eastAsia="Calibri" w:hAnsi="Verdana" w:cs="Times New Roman"/>
          <w:b/>
          <w:sz w:val="20"/>
          <w:szCs w:val="20"/>
        </w:rPr>
        <w:t xml:space="preserve">Sen </w:t>
      </w:r>
      <w:proofErr w:type="spellStart"/>
      <w:r w:rsidRPr="004A2F09">
        <w:rPr>
          <w:rFonts w:ascii="Verdana" w:eastAsia="Calibri" w:hAnsi="Verdana" w:cs="Times New Roman"/>
          <w:b/>
          <w:sz w:val="20"/>
          <w:szCs w:val="20"/>
        </w:rPr>
        <w:t>Turk</w:t>
      </w:r>
      <w:proofErr w:type="spellEnd"/>
      <w:r w:rsidRPr="004A2F09">
        <w:rPr>
          <w:rFonts w:ascii="Verdana" w:eastAsia="Calibri" w:hAnsi="Verdana" w:cs="Times New Roman"/>
          <w:b/>
          <w:sz w:val="20"/>
          <w:szCs w:val="20"/>
        </w:rPr>
        <w:t xml:space="preserve"> N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, Erdem E.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Effects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of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tempol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on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experimental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acute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necrotizing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pancreatitis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 model in </w:t>
      </w:r>
      <w:proofErr w:type="spellStart"/>
      <w:r w:rsidRPr="004A2F09">
        <w:rPr>
          <w:rFonts w:ascii="Verdana" w:eastAsia="Calibri" w:hAnsi="Verdana" w:cs="Times New Roman"/>
          <w:sz w:val="20"/>
          <w:szCs w:val="20"/>
        </w:rPr>
        <w:t>rats</w:t>
      </w:r>
      <w:proofErr w:type="spellEnd"/>
      <w:r w:rsidRPr="004A2F09">
        <w:rPr>
          <w:rFonts w:ascii="Verdana" w:eastAsia="Calibri" w:hAnsi="Verdana" w:cs="Times New Roman"/>
          <w:sz w:val="20"/>
          <w:szCs w:val="20"/>
        </w:rPr>
        <w:t xml:space="preserve">. </w:t>
      </w:r>
      <w:hyperlink r:id="rId10" w:tooltip="Journal of investigative surgery : the official journal of the Academy of Surgical Research." w:history="1"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 xml:space="preserve">J </w:t>
        </w:r>
        <w:proofErr w:type="spellStart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>Invest</w:t>
        </w:r>
        <w:proofErr w:type="spellEnd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>Surg</w:t>
        </w:r>
        <w:proofErr w:type="spellEnd"/>
        <w:r w:rsidRPr="004A2F09">
          <w:rPr>
            <w:rFonts w:ascii="Verdana" w:eastAsia="Calibri" w:hAnsi="Verdana" w:cs="Arial"/>
            <w:sz w:val="20"/>
            <w:szCs w:val="20"/>
            <w:shd w:val="clear" w:color="auto" w:fill="FFFFFF"/>
          </w:rPr>
          <w:t>.</w:t>
        </w:r>
      </w:hyperlink>
      <w:r w:rsidRPr="004A2F09">
        <w:rPr>
          <w:rFonts w:ascii="Verdana" w:eastAsia="Calibri" w:hAnsi="Verdana" w:cs="Arial"/>
          <w:sz w:val="20"/>
          <w:szCs w:val="20"/>
          <w:shd w:val="clear" w:color="auto" w:fill="FFFFFF"/>
        </w:rPr>
        <w:t> 28(5):268-75 (2015). </w:t>
      </w:r>
    </w:p>
    <w:p w14:paraId="000CCC84" w14:textId="77777777" w:rsidR="004A2F09" w:rsidRPr="004A2F09" w:rsidRDefault="004A2F09" w:rsidP="004A2F09">
      <w:pPr>
        <w:spacing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tr-TR"/>
        </w:rPr>
      </w:pPr>
      <w:r w:rsidRPr="004A2F09">
        <w:rPr>
          <w:rFonts w:ascii="Verdana" w:eastAsia="Times New Roman" w:hAnsi="Verdana" w:cs="Times New Roman"/>
          <w:b/>
          <w:sz w:val="20"/>
          <w:szCs w:val="20"/>
          <w:lang w:eastAsia="tr-TR"/>
        </w:rPr>
        <w:t>12.</w:t>
      </w:r>
      <w:r w:rsidRPr="004A2F09">
        <w:rPr>
          <w:rFonts w:ascii="Verdana" w:eastAsia="Times New Roman" w:hAnsi="Verdana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>Baris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I.C., Caner V</w:t>
      </w:r>
      <w:r w:rsidRPr="004A2F09">
        <w:rPr>
          <w:rFonts w:ascii="Verdana" w:eastAsia="Times New Roman" w:hAnsi="Verdana" w:cs="Times New Roman"/>
          <w:b/>
          <w:sz w:val="20"/>
          <w:szCs w:val="20"/>
          <w:lang w:eastAsia="tr-TR"/>
        </w:rPr>
        <w:t>.</w:t>
      </w:r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Pr="004A2F09">
        <w:rPr>
          <w:rFonts w:ascii="Verdana" w:eastAsia="Times New Roman" w:hAnsi="Verdana" w:cs="Times New Roman"/>
          <w:b/>
          <w:sz w:val="20"/>
          <w:szCs w:val="20"/>
          <w:lang w:eastAsia="tr-TR"/>
        </w:rPr>
        <w:t xml:space="preserve">Sen </w:t>
      </w:r>
      <w:proofErr w:type="spellStart"/>
      <w:r w:rsidRPr="004A2F09">
        <w:rPr>
          <w:rFonts w:ascii="Verdana" w:eastAsia="Times New Roman" w:hAnsi="Verdana" w:cs="Times New Roman"/>
          <w:b/>
          <w:sz w:val="20"/>
          <w:szCs w:val="20"/>
          <w:lang w:eastAsia="tr-TR"/>
        </w:rPr>
        <w:t>Turk</w:t>
      </w:r>
      <w:proofErr w:type="spellEnd"/>
      <w:r w:rsidRPr="004A2F09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tr-TR"/>
        </w:rPr>
        <w:t xml:space="preserve"> </w:t>
      </w:r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N, Sari I,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>Hacioglu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S,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>Dogu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M.H.,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>Cetin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O., Tepeli E., Can O.,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>Bagci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gramStart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>G,.</w:t>
      </w:r>
      <w:proofErr w:type="gramEnd"/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Keskin A. “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Possible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role of GADD45γ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promoter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methylation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in DLBCL: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lastRenderedPageBreak/>
        <w:t>Does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it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affect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the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progression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and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tissue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involvement</w:t>
      </w:r>
      <w:proofErr w:type="spellEnd"/>
      <w:r w:rsidRPr="004A2F09">
        <w:rPr>
          <w:rFonts w:ascii="Verdana" w:eastAsia="Times New Roman" w:hAnsi="Verdana" w:cs="Times New Roman"/>
          <w:sz w:val="20"/>
          <w:szCs w:val="20"/>
          <w:lang w:eastAsia="tr-TR" w:bidi="x-none"/>
        </w:rPr>
        <w:t>?”,</w:t>
      </w:r>
      <w:r w:rsidRPr="004A2F09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r w:rsidRPr="004A2F09">
        <w:rPr>
          <w:rFonts w:ascii="Verdana" w:eastAsia="Times New Roman" w:hAnsi="Verdana" w:cs="Arial"/>
          <w:i/>
          <w:sz w:val="20"/>
          <w:szCs w:val="20"/>
          <w:lang w:eastAsia="tr-TR"/>
        </w:rPr>
        <w:t xml:space="preserve">Tr J </w:t>
      </w:r>
      <w:proofErr w:type="spellStart"/>
      <w:r w:rsidRPr="004A2F09">
        <w:rPr>
          <w:rFonts w:ascii="Verdana" w:eastAsia="Times New Roman" w:hAnsi="Verdana" w:cs="Arial"/>
          <w:i/>
          <w:sz w:val="20"/>
          <w:szCs w:val="20"/>
          <w:lang w:eastAsia="tr-TR"/>
        </w:rPr>
        <w:t>Haematol</w:t>
      </w:r>
      <w:proofErr w:type="spellEnd"/>
      <w:r w:rsidRPr="004A2F09">
        <w:rPr>
          <w:rFonts w:ascii="Verdana" w:eastAsia="Times New Roman" w:hAnsi="Verdana" w:cs="Arial"/>
          <w:sz w:val="20"/>
          <w:szCs w:val="20"/>
          <w:lang w:eastAsia="tr-TR"/>
        </w:rPr>
        <w:t xml:space="preserve">, 32(4):295-303 (2015). </w:t>
      </w:r>
    </w:p>
    <w:p w14:paraId="000CCCB7" w14:textId="7B3FD287" w:rsidR="004A2F09" w:rsidRPr="004A2F09" w:rsidRDefault="004A2F09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4A2F09">
        <w:rPr>
          <w:rFonts w:ascii="Verdana" w:eastAsia="Times New Roman" w:hAnsi="Verdana" w:cs="Times New Roman"/>
          <w:b/>
          <w:sz w:val="24"/>
          <w:szCs w:val="24"/>
        </w:rPr>
        <w:t>A.</w:t>
      </w:r>
      <w:r w:rsidR="00CA5A4A">
        <w:rPr>
          <w:rFonts w:ascii="Verdana" w:eastAsia="Times New Roman" w:hAnsi="Verdana" w:cs="Times New Roman"/>
          <w:b/>
          <w:sz w:val="24"/>
          <w:szCs w:val="24"/>
        </w:rPr>
        <w:t>2</w:t>
      </w:r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ISI tarafından taranan ve SCI, SCI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Expanded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>, SSCI, AHCI kapsamı dışındaki indekslere (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Engineering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Index,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Compumath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Citation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Index,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Education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Index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Compendex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Inspec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Current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Contents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, SCOPUS,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RePec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, ECONLIT,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Education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gramStart"/>
      <w:r w:rsidRPr="004A2F09">
        <w:rPr>
          <w:rFonts w:ascii="Verdana" w:eastAsia="Times New Roman" w:hAnsi="Verdana" w:cs="Times New Roman"/>
          <w:b/>
          <w:sz w:val="24"/>
          <w:szCs w:val="24"/>
        </w:rPr>
        <w:t>Index ,Index</w:t>
      </w:r>
      <w:proofErr w:type="gram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Medicus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Physical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education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index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sport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/>
          <w:sz w:val="24"/>
          <w:szCs w:val="24"/>
        </w:rPr>
        <w:t>discus</w:t>
      </w:r>
      <w:proofErr w:type="spellEnd"/>
      <w:r w:rsidRPr="004A2F09">
        <w:rPr>
          <w:rFonts w:ascii="Verdana" w:eastAsia="Times New Roman" w:hAnsi="Verdana" w:cs="Times New Roman"/>
          <w:b/>
          <w:sz w:val="24"/>
          <w:szCs w:val="24"/>
        </w:rPr>
        <w:t xml:space="preserve"> ve benzeri uluslararası indeksler) giren dergilerde (uluslararası veya ulusal) yayınlanan</w:t>
      </w:r>
    </w:p>
    <w:p w14:paraId="000CCCB9" w14:textId="77777777" w:rsidR="00A90C98" w:rsidRDefault="004A2F09" w:rsidP="00A90C98">
      <w:pPr>
        <w:tabs>
          <w:tab w:val="num" w:pos="360"/>
        </w:tabs>
        <w:spacing w:before="100" w:beforeAutospacing="1" w:line="240" w:lineRule="auto"/>
        <w:jc w:val="both"/>
        <w:rPr>
          <w:rFonts w:ascii="Verdana" w:eastAsia="Times New Roman" w:hAnsi="Verdana" w:cs="Helvetica-Bold"/>
          <w:b/>
          <w:bCs/>
          <w:sz w:val="20"/>
          <w:szCs w:val="20"/>
          <w:lang w:eastAsia="tr-TR"/>
        </w:rPr>
      </w:pPr>
      <w:r w:rsidRPr="004A2F09">
        <w:rPr>
          <w:rFonts w:ascii="Verdana" w:eastAsia="Times New Roman" w:hAnsi="Verdana" w:cs="Helvetica-Bold"/>
          <w:b/>
          <w:bCs/>
          <w:sz w:val="20"/>
          <w:szCs w:val="20"/>
          <w:lang w:eastAsia="tr-TR"/>
        </w:rPr>
        <w:t xml:space="preserve">1. </w:t>
      </w:r>
      <w:r w:rsidR="00A90C98" w:rsidRPr="00A90C98">
        <w:rPr>
          <w:rFonts w:ascii="Verdana" w:eastAsia="Calibri" w:hAnsi="Verdana" w:cs="Times New Roman"/>
          <w:sz w:val="20"/>
          <w:szCs w:val="20"/>
        </w:rPr>
        <w:t xml:space="preserve">Gülten G, </w:t>
      </w:r>
      <w:r w:rsidR="00A90C98" w:rsidRPr="00A90C98">
        <w:rPr>
          <w:rFonts w:ascii="Verdana" w:eastAsia="Calibri" w:hAnsi="Verdana" w:cs="Times New Roman"/>
          <w:b/>
          <w:sz w:val="20"/>
          <w:szCs w:val="20"/>
        </w:rPr>
        <w:t>Şen Türk N</w:t>
      </w:r>
      <w:r w:rsidR="00A90C98" w:rsidRPr="00A90C98">
        <w:rPr>
          <w:rFonts w:ascii="Verdana" w:eastAsia="Calibri" w:hAnsi="Verdana" w:cs="Times New Roman"/>
          <w:sz w:val="20"/>
          <w:szCs w:val="20"/>
        </w:rPr>
        <w:t>, Kabukçu Hacıoğlu S, Çallı Demirkan</w:t>
      </w:r>
      <w:r w:rsidR="00A90C98" w:rsidRPr="00A90C98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A90C98" w:rsidRPr="00A90C98">
        <w:rPr>
          <w:rFonts w:ascii="Verdana" w:eastAsia="Calibri" w:hAnsi="Verdana" w:cs="Times New Roman"/>
          <w:sz w:val="20"/>
          <w:szCs w:val="20"/>
        </w:rPr>
        <w:t xml:space="preserve">N. 2007-2017 yılları arasında </w:t>
      </w:r>
      <w:proofErr w:type="spellStart"/>
      <w:r w:rsidR="00A90C98" w:rsidRPr="00A90C98">
        <w:rPr>
          <w:rFonts w:ascii="Verdana" w:eastAsia="Calibri" w:hAnsi="Verdana" w:cs="Times New Roman"/>
          <w:sz w:val="20"/>
          <w:szCs w:val="20"/>
        </w:rPr>
        <w:t>primer</w:t>
      </w:r>
      <w:proofErr w:type="spellEnd"/>
      <w:r w:rsidR="00A90C98" w:rsidRPr="00A90C98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="00A90C98" w:rsidRPr="00A90C98">
        <w:rPr>
          <w:rFonts w:ascii="Verdana" w:eastAsia="Calibri" w:hAnsi="Verdana" w:cs="Times New Roman"/>
          <w:sz w:val="20"/>
          <w:szCs w:val="20"/>
        </w:rPr>
        <w:t>gastrointestinal</w:t>
      </w:r>
      <w:proofErr w:type="spellEnd"/>
      <w:r w:rsidR="00A90C98" w:rsidRPr="00A90C98">
        <w:rPr>
          <w:rFonts w:ascii="Verdana" w:eastAsia="Calibri" w:hAnsi="Verdana" w:cs="Times New Roman"/>
          <w:sz w:val="20"/>
          <w:szCs w:val="20"/>
        </w:rPr>
        <w:t xml:space="preserve"> sistem </w:t>
      </w:r>
      <w:proofErr w:type="spellStart"/>
      <w:r w:rsidR="00A90C98" w:rsidRPr="00A90C98">
        <w:rPr>
          <w:rFonts w:ascii="Verdana" w:eastAsia="Calibri" w:hAnsi="Verdana" w:cs="Times New Roman"/>
          <w:sz w:val="20"/>
          <w:szCs w:val="20"/>
        </w:rPr>
        <w:t>lenfoması</w:t>
      </w:r>
      <w:proofErr w:type="spellEnd"/>
      <w:r w:rsidR="00A90C98" w:rsidRPr="00A90C98">
        <w:rPr>
          <w:rFonts w:ascii="Verdana" w:eastAsia="Calibri" w:hAnsi="Verdana" w:cs="Times New Roman"/>
          <w:sz w:val="20"/>
          <w:szCs w:val="20"/>
        </w:rPr>
        <w:t xml:space="preserve"> tanısı alan olgularımızın değerlendirilmesi.</w:t>
      </w:r>
      <w:r w:rsidR="00A90C98" w:rsidRPr="00A90C98">
        <w:rPr>
          <w:rFonts w:ascii="Calibri" w:eastAsia="Calibri" w:hAnsi="Calibri" w:cs="Times New Roman"/>
          <w:sz w:val="20"/>
          <w:szCs w:val="20"/>
        </w:rPr>
        <w:t xml:space="preserve"> </w:t>
      </w:r>
      <w:r w:rsidR="00A90C98" w:rsidRPr="00A90C98">
        <w:rPr>
          <w:rFonts w:ascii="Verdana" w:eastAsia="Calibri" w:hAnsi="Verdana" w:cs="Times New Roman"/>
          <w:sz w:val="20"/>
          <w:szCs w:val="20"/>
        </w:rPr>
        <w:t>LLM Dergi, 2(1): 20-25, (2018).</w:t>
      </w:r>
    </w:p>
    <w:p w14:paraId="11A7CD96" w14:textId="731E0D80" w:rsidR="00480D90" w:rsidRPr="00CA5A4A" w:rsidRDefault="00A90C98" w:rsidP="00CA5A4A">
      <w:pPr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tr-TR" w:bidi="x-none"/>
        </w:rPr>
      </w:pPr>
      <w:r w:rsidRPr="00A90C98">
        <w:rPr>
          <w:rFonts w:ascii="Verdana" w:eastAsia="Times New Roman" w:hAnsi="Verdana" w:cs="Times New Roman"/>
          <w:b/>
          <w:sz w:val="20"/>
          <w:szCs w:val="20"/>
          <w:lang w:eastAsia="tr-TR"/>
        </w:rPr>
        <w:t>2.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Can O., Caner V</w:t>
      </w:r>
      <w:r w:rsidR="004A2F09" w:rsidRPr="004A2F09">
        <w:rPr>
          <w:rFonts w:ascii="Verdana" w:eastAsia="Times New Roman" w:hAnsi="Verdana" w:cs="Times New Roman"/>
          <w:b/>
          <w:sz w:val="20"/>
          <w:szCs w:val="20"/>
          <w:lang w:eastAsia="tr-TR"/>
        </w:rPr>
        <w:t>.,</w:t>
      </w:r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4A2F09" w:rsidRPr="004A2F09">
        <w:rPr>
          <w:rFonts w:ascii="Verdana" w:eastAsia="Times New Roman" w:hAnsi="Verdana" w:cs="Times New Roman"/>
          <w:b/>
          <w:sz w:val="20"/>
          <w:szCs w:val="20"/>
          <w:lang w:eastAsia="tr-TR"/>
        </w:rPr>
        <w:t>Şen Türk N</w:t>
      </w:r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., Tuncay L.,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Eskiçorapçı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S.Y., Tepeli E., Çetin G.O., Barış C., Bağcı G. GADD45</w:t>
      </w:r>
      <w:r w:rsidR="004A2F09" w:rsidRPr="004A2F09">
        <w:rPr>
          <w:rFonts w:ascii="Arial" w:eastAsia="Times New Roman" w:hAnsi="Arial" w:cs="Arial"/>
          <w:sz w:val="20"/>
          <w:szCs w:val="20"/>
          <w:lang w:eastAsia="tr-TR"/>
        </w:rPr>
        <w:sym w:font="Symbol" w:char="F067"/>
      </w:r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methylation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is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more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common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in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benign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prostatic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hyperplasia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than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in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prostate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cancer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. Gene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Therapy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and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Molecular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>Biology</w:t>
      </w:r>
      <w:proofErr w:type="spellEnd"/>
      <w:r w:rsidR="004A2F09"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16: 44-54 (2014) </w:t>
      </w:r>
    </w:p>
    <w:p w14:paraId="000CCDC4" w14:textId="0765EC21" w:rsidR="004A2F09" w:rsidRPr="004A2F09" w:rsidRDefault="00886D91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B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  <w:u w:val="single"/>
        </w:rPr>
        <w:t>. ARAŞTIRMA</w:t>
      </w:r>
    </w:p>
    <w:p w14:paraId="000CCDC5" w14:textId="2D923840" w:rsidR="004A2F09" w:rsidRPr="004A2F09" w:rsidRDefault="00886D91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B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>.1. Ulusal Kuruluşlarca (TÜBİTAK, DPT) desteklenen projede görev alma</w:t>
      </w:r>
    </w:p>
    <w:p w14:paraId="000CCDC6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1.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Diffüz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Büyük B-hücreli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Lenfoma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patogenezinde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tümör-kökenli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ekzozomların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fonksiyonal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önemi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TÜBİTAK SBAG 114S442, </w:t>
      </w:r>
      <w:r w:rsidRPr="004A2F09">
        <w:rPr>
          <w:rFonts w:ascii="Verdana" w:eastAsia="Times New Roman" w:hAnsi="Verdana" w:cs="Times New Roman"/>
          <w:b/>
          <w:bCs/>
          <w:i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2014</w:t>
      </w:r>
    </w:p>
    <w:p w14:paraId="000CCDC8" w14:textId="2E06A9C2" w:rsidR="004A2F09" w:rsidRPr="004A2F09" w:rsidRDefault="00886D91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B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sz w:val="24"/>
          <w:szCs w:val="24"/>
        </w:rPr>
        <w:t>2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 xml:space="preserve"> Üniversite Bilimsel Araştırma Projeleri kapsamında desteklenen proje yürütücülüğü</w:t>
      </w:r>
    </w:p>
    <w:p w14:paraId="000CCDC9" w14:textId="77777777" w:rsidR="004A2F09" w:rsidRPr="004A2F09" w:rsidRDefault="004A2F09" w:rsidP="004A2F09">
      <w:pPr>
        <w:spacing w:after="200" w:line="240" w:lineRule="auto"/>
        <w:jc w:val="both"/>
        <w:rPr>
          <w:rFonts w:ascii="Verdana" w:eastAsia="Arial Unicode MS" w:hAnsi="Verdana" w:cs="Arial Unicode MS"/>
          <w:i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sz w:val="20"/>
          <w:szCs w:val="20"/>
          <w:lang w:eastAsia="tr-TR"/>
        </w:rPr>
        <w:t>1.</w:t>
      </w:r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>Diffüz</w:t>
      </w:r>
      <w:proofErr w:type="spellEnd"/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 xml:space="preserve"> Büyük B Hücreli </w:t>
      </w:r>
      <w:proofErr w:type="spellStart"/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>Lenfomalarda</w:t>
      </w:r>
      <w:proofErr w:type="spellEnd"/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 xml:space="preserve"> DBC1 ve SIRT1 Ekspresyonu ile p53 </w:t>
      </w:r>
      <w:proofErr w:type="spellStart"/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>Asetilasyonunun</w:t>
      </w:r>
      <w:proofErr w:type="spellEnd"/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>Prognostik</w:t>
      </w:r>
      <w:proofErr w:type="spellEnd"/>
      <w:r w:rsidRPr="004A2F09">
        <w:rPr>
          <w:rFonts w:ascii="Verdana" w:eastAsia="Times New Roman" w:hAnsi="Verdana" w:cs="Times New Roman"/>
          <w:i/>
          <w:sz w:val="20"/>
          <w:szCs w:val="20"/>
          <w:lang w:eastAsia="tr-TR"/>
        </w:rPr>
        <w:t xml:space="preserve"> Öneminin Belirlenmesi</w:t>
      </w:r>
      <w:r w:rsidRPr="004A2F09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PAÜ, BAP, </w:t>
      </w:r>
      <w:r w:rsidRPr="004A2F09">
        <w:rPr>
          <w:rFonts w:ascii="Verdana" w:eastAsia="Calibri" w:hAnsi="Verdana" w:cs="Times New Roman"/>
          <w:sz w:val="20"/>
          <w:szCs w:val="20"/>
        </w:rPr>
        <w:t xml:space="preserve">2015TPF009, </w:t>
      </w:r>
      <w:r w:rsidRPr="004A2F09">
        <w:rPr>
          <w:rFonts w:ascii="Verdana" w:eastAsia="Arial Unicode MS" w:hAnsi="Verdana" w:cs="Arial Unicode MS"/>
          <w:b/>
          <w:i/>
          <w:iCs/>
          <w:sz w:val="20"/>
          <w:szCs w:val="20"/>
        </w:rPr>
        <w:t xml:space="preserve">Proje Yöneticisi, </w:t>
      </w:r>
      <w:r w:rsidRPr="004A2F09">
        <w:rPr>
          <w:rFonts w:ascii="Verdana" w:eastAsia="Arial Unicode MS" w:hAnsi="Verdana" w:cs="Arial Unicode MS"/>
          <w:iCs/>
          <w:sz w:val="20"/>
          <w:szCs w:val="20"/>
        </w:rPr>
        <w:t>2015.</w:t>
      </w:r>
    </w:p>
    <w:p w14:paraId="000CCDCA" w14:textId="77777777" w:rsidR="004A2F09" w:rsidRPr="004A2F09" w:rsidRDefault="004A2F09" w:rsidP="004A2F09">
      <w:pPr>
        <w:spacing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Arial Unicode MS" w:hAnsi="Verdana" w:cs="Arial Unicode MS"/>
          <w:b/>
          <w:sz w:val="20"/>
          <w:szCs w:val="20"/>
        </w:rPr>
        <w:t>2.</w:t>
      </w:r>
      <w:r w:rsidRPr="004A2F09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4A2F09">
        <w:rPr>
          <w:rFonts w:ascii="Verdana" w:eastAsia="Arial Unicode MS" w:hAnsi="Verdana" w:cs="Arial Unicode MS"/>
          <w:i/>
          <w:sz w:val="20"/>
          <w:szCs w:val="20"/>
        </w:rPr>
        <w:t xml:space="preserve">Prostata Ait </w:t>
      </w:r>
      <w:proofErr w:type="spellStart"/>
      <w:r w:rsidRPr="004A2F09">
        <w:rPr>
          <w:rFonts w:ascii="Verdana" w:eastAsia="Arial Unicode MS" w:hAnsi="Verdana" w:cs="Arial Unicode MS"/>
          <w:i/>
          <w:sz w:val="20"/>
          <w:szCs w:val="20"/>
        </w:rPr>
        <w:t>Benign</w:t>
      </w:r>
      <w:proofErr w:type="spellEnd"/>
      <w:r w:rsidRPr="004A2F09">
        <w:rPr>
          <w:rFonts w:ascii="Verdana" w:eastAsia="Arial Unicode MS" w:hAnsi="Verdana" w:cs="Arial Unicode MS"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Arial Unicode MS" w:hAnsi="Verdana" w:cs="Arial Unicode MS"/>
          <w:i/>
          <w:sz w:val="20"/>
          <w:szCs w:val="20"/>
        </w:rPr>
        <w:t>Glandüler</w:t>
      </w:r>
      <w:proofErr w:type="spellEnd"/>
      <w:r w:rsidRPr="004A2F09">
        <w:rPr>
          <w:rFonts w:ascii="Verdana" w:eastAsia="Arial Unicode MS" w:hAnsi="Verdana" w:cs="Arial Unicode MS"/>
          <w:i/>
          <w:sz w:val="20"/>
          <w:szCs w:val="20"/>
        </w:rPr>
        <w:t xml:space="preserve"> Yapılar, Yüksek Dereceli </w:t>
      </w:r>
      <w:proofErr w:type="spellStart"/>
      <w:r w:rsidRPr="004A2F09">
        <w:rPr>
          <w:rFonts w:ascii="Verdana" w:eastAsia="Arial Unicode MS" w:hAnsi="Verdana" w:cs="Arial Unicode MS"/>
          <w:i/>
          <w:sz w:val="20"/>
          <w:szCs w:val="20"/>
        </w:rPr>
        <w:t>Prostatik</w:t>
      </w:r>
      <w:proofErr w:type="spellEnd"/>
      <w:r w:rsidRPr="004A2F09">
        <w:rPr>
          <w:rFonts w:ascii="Verdana" w:eastAsia="Arial Unicode MS" w:hAnsi="Verdana" w:cs="Arial Unicode MS"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Arial Unicode MS" w:hAnsi="Verdana" w:cs="Arial Unicode MS"/>
          <w:i/>
          <w:sz w:val="20"/>
          <w:szCs w:val="20"/>
        </w:rPr>
        <w:t>İntraepiteliyal</w:t>
      </w:r>
      <w:proofErr w:type="spellEnd"/>
      <w:r w:rsidRPr="004A2F09">
        <w:rPr>
          <w:rFonts w:ascii="Verdana" w:eastAsia="Arial Unicode MS" w:hAnsi="Verdana" w:cs="Arial Unicode MS"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Arial Unicode MS" w:hAnsi="Verdana" w:cs="Arial Unicode MS"/>
          <w:i/>
          <w:sz w:val="20"/>
          <w:szCs w:val="20"/>
        </w:rPr>
        <w:t>Neoplazi</w:t>
      </w:r>
      <w:proofErr w:type="spellEnd"/>
      <w:r w:rsidRPr="004A2F09">
        <w:rPr>
          <w:rFonts w:ascii="Verdana" w:eastAsia="Arial Unicode MS" w:hAnsi="Verdana" w:cs="Arial Unicode MS"/>
          <w:i/>
          <w:sz w:val="20"/>
          <w:szCs w:val="20"/>
        </w:rPr>
        <w:t xml:space="preserve"> ve </w:t>
      </w:r>
      <w:proofErr w:type="spellStart"/>
      <w:r w:rsidRPr="004A2F09">
        <w:rPr>
          <w:rFonts w:ascii="Verdana" w:eastAsia="Arial Unicode MS" w:hAnsi="Verdana" w:cs="Arial Unicode MS"/>
          <w:i/>
          <w:sz w:val="20"/>
          <w:szCs w:val="20"/>
        </w:rPr>
        <w:t>Adenokarsinomlarda</w:t>
      </w:r>
      <w:proofErr w:type="spellEnd"/>
      <w:r w:rsidRPr="004A2F09">
        <w:rPr>
          <w:rFonts w:ascii="Verdana" w:eastAsia="Arial Unicode MS" w:hAnsi="Verdana" w:cs="Arial Unicode MS"/>
          <w:i/>
          <w:sz w:val="20"/>
          <w:szCs w:val="20"/>
        </w:rPr>
        <w:t xml:space="preserve"> IMP-3 Ekspresyonunun Belirlenmesi</w:t>
      </w:r>
      <w:r w:rsidRPr="004A2F09">
        <w:rPr>
          <w:rFonts w:ascii="Verdana" w:eastAsia="Arial Unicode MS" w:hAnsi="Verdana" w:cs="Arial Unicode MS"/>
          <w:sz w:val="20"/>
          <w:szCs w:val="20"/>
        </w:rPr>
        <w:t xml:space="preserve">, 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PAÜ, BAP,</w:t>
      </w:r>
    </w:p>
    <w:p w14:paraId="000CCDCB" w14:textId="77777777" w:rsidR="004A2F09" w:rsidRPr="004A2F09" w:rsidRDefault="004A2F09" w:rsidP="004A2F09">
      <w:pPr>
        <w:spacing w:after="200" w:line="240" w:lineRule="auto"/>
        <w:jc w:val="both"/>
        <w:rPr>
          <w:rFonts w:ascii="Verdana" w:eastAsia="Arial Unicode MS" w:hAnsi="Verdana" w:cs="Times New Roman"/>
          <w:iCs/>
          <w:sz w:val="20"/>
          <w:szCs w:val="20"/>
        </w:rPr>
      </w:pPr>
      <w:r w:rsidRPr="004A2F09">
        <w:rPr>
          <w:rFonts w:ascii="Verdana" w:eastAsia="Arial Unicode MS" w:hAnsi="Verdana" w:cs="Arial Unicode MS"/>
          <w:color w:val="000000"/>
          <w:sz w:val="20"/>
          <w:szCs w:val="20"/>
        </w:rPr>
        <w:t>2010TPF002,</w:t>
      </w:r>
      <w:r w:rsidRPr="004A2F09">
        <w:rPr>
          <w:rFonts w:ascii="Verdana" w:eastAsia="Arial Unicode MS" w:hAnsi="Verdana" w:cs="Arial Unicode MS"/>
          <w:b/>
          <w:i/>
          <w:iCs/>
          <w:sz w:val="20"/>
          <w:szCs w:val="20"/>
        </w:rPr>
        <w:t xml:space="preserve"> Proje Yöneticisi</w:t>
      </w:r>
      <w:r w:rsidRPr="004A2F09">
        <w:rPr>
          <w:rFonts w:ascii="Verdana" w:eastAsia="Arial Unicode MS" w:hAnsi="Verdana" w:cs="Times New Roman"/>
          <w:iCs/>
          <w:sz w:val="20"/>
          <w:szCs w:val="20"/>
        </w:rPr>
        <w:t>, 2010.</w:t>
      </w:r>
      <w:r w:rsidRPr="004A2F09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r w:rsidRPr="004A2F09">
        <w:rPr>
          <w:rFonts w:ascii="Verdana" w:eastAsia="Arial Unicode MS" w:hAnsi="Verdana" w:cs="Times New Roman"/>
          <w:iCs/>
          <w:sz w:val="20"/>
          <w:szCs w:val="20"/>
          <w:highlight w:val="red"/>
        </w:rPr>
        <w:t xml:space="preserve"> </w:t>
      </w:r>
    </w:p>
    <w:p w14:paraId="000CCDCE" w14:textId="72535E39" w:rsidR="004A2F09" w:rsidRPr="004A2F09" w:rsidRDefault="00886D91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B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sz w:val="24"/>
          <w:szCs w:val="24"/>
        </w:rPr>
        <w:t>3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>Üniversite Bilimsel Araştırma Projeleri kapsamında desteklenen projede görev alma</w:t>
      </w:r>
    </w:p>
    <w:p w14:paraId="000CCDCF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1.</w:t>
      </w:r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Otomatik FISH görüntü analizi sistemi, 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PAÜ BAP, </w:t>
      </w:r>
      <w:r w:rsidRPr="004A2F09">
        <w:rPr>
          <w:rFonts w:ascii="Verdana" w:eastAsia="Times New Roman" w:hAnsi="Verdana" w:cs="Times New Roman"/>
          <w:sz w:val="20"/>
          <w:szCs w:val="24"/>
        </w:rPr>
        <w:t xml:space="preserve">Kurumsal Alt Yapı Projesi, 2017KRM008, </w:t>
      </w:r>
      <w:r w:rsidRPr="004A2F09">
        <w:rPr>
          <w:rFonts w:ascii="Verdana" w:eastAsia="Times New Roman" w:hAnsi="Verdana" w:cs="Times New Roman"/>
          <w:b/>
          <w:i/>
          <w:iCs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2017.</w:t>
      </w:r>
    </w:p>
    <w:p w14:paraId="000CCDD0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2.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Nekrotizan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enterokolit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modeli oluşturulan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yenidoğan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ratlarda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kafeinin etkisi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PAÜ BAP, 2017TIPF011, </w:t>
      </w:r>
      <w:r w:rsidRPr="004A2F09">
        <w:rPr>
          <w:rFonts w:ascii="Verdana" w:eastAsia="Times New Roman" w:hAnsi="Verdana" w:cs="Times New Roman"/>
          <w:b/>
          <w:i/>
          <w:iCs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2017.</w:t>
      </w:r>
    </w:p>
    <w:p w14:paraId="000CCDD1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3.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TNF alfa-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blokeri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uygulanan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immünsüpresif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deneklerde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Bartonella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henselae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enfeksiyonunun dokudaki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histopatolojik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ve mikrobiyolojik değişikliklerinin araştırılması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PAÜ BAP, 2017TIPF006, </w:t>
      </w:r>
      <w:r w:rsidRPr="004A2F09">
        <w:rPr>
          <w:rFonts w:ascii="Verdana" w:eastAsia="Times New Roman" w:hAnsi="Verdana" w:cs="Times New Roman"/>
          <w:b/>
          <w:i/>
          <w:iCs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2017.</w:t>
      </w:r>
    </w:p>
    <w:p w14:paraId="000CCDD2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4.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Ratlarda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hipoksi-hiperoksi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hasarıyla oluşturulan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intestinal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hasarda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adalimumabın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doza bağlı etkileri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PAÜ BAP Hızlı Destek, 2017HZDP017, </w:t>
      </w:r>
      <w:r w:rsidRPr="004A2F09">
        <w:rPr>
          <w:rFonts w:ascii="Verdana" w:eastAsia="Times New Roman" w:hAnsi="Verdana" w:cs="Times New Roman"/>
          <w:b/>
          <w:i/>
          <w:iCs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2017</w:t>
      </w:r>
    </w:p>
    <w:p w14:paraId="000CCDD3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5.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Diffüz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büyük B-hücreli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lenfomada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eksozomal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ve nükleer DNA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metilasyon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paternlerinin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karşılaştırılması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PAÜ BAP, 2016SABE005, </w:t>
      </w:r>
      <w:r w:rsidRPr="004A2F09">
        <w:rPr>
          <w:rFonts w:ascii="Verdana" w:eastAsia="Times New Roman" w:hAnsi="Verdana" w:cs="Times New Roman"/>
          <w:b/>
          <w:i/>
          <w:iCs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2016.</w:t>
      </w:r>
    </w:p>
    <w:p w14:paraId="000CCDD4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6.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Hiperokzalürik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rat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modellerinde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toll-like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reseptör (TLR) ekspresyonlarının araştırılması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PAÜ BAP,2015 TPF001, </w:t>
      </w:r>
      <w:r w:rsidRPr="004A2F09">
        <w:rPr>
          <w:rFonts w:ascii="Verdana" w:eastAsia="Times New Roman" w:hAnsi="Verdana" w:cs="Times New Roman"/>
          <w:b/>
          <w:i/>
          <w:iCs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2015</w:t>
      </w:r>
    </w:p>
    <w:p w14:paraId="000CCDD5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7.</w:t>
      </w:r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Matür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B-Hücreli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Hodgkin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-Dışı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Lenfomalarda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CD79B ve EZH2 Genlerindeki Aktive </w:t>
      </w:r>
      <w:proofErr w:type="gram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Edici  Mutasyonların</w:t>
      </w:r>
      <w:proofErr w:type="gram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Varlığının Belirlenmesi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PAÜ BAP Hızlı Destek, 2015HZL009, </w:t>
      </w:r>
      <w:r w:rsidRPr="004A2F09">
        <w:rPr>
          <w:rFonts w:ascii="Verdana" w:eastAsia="Times New Roman" w:hAnsi="Verdana" w:cs="Times New Roman"/>
          <w:b/>
          <w:i/>
          <w:iCs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2015.</w:t>
      </w:r>
    </w:p>
    <w:p w14:paraId="000CCDD6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8.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Diffüz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Büyük B-hücreli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Lenfoma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patogenezinde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tümör-kökenli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ekzozomların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fonksiyonal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önemi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PAÜ BAP, </w:t>
      </w:r>
      <w:r w:rsidRPr="004A2F09">
        <w:rPr>
          <w:rFonts w:ascii="Verdana" w:eastAsia="Times New Roman" w:hAnsi="Verdana" w:cs="Times New Roman"/>
          <w:sz w:val="20"/>
          <w:szCs w:val="24"/>
        </w:rPr>
        <w:t xml:space="preserve">Kurumsal Alt Yapı Projesi, 2014KRM022, </w:t>
      </w:r>
      <w:r w:rsidRPr="004A2F09">
        <w:rPr>
          <w:rFonts w:ascii="Verdana" w:eastAsia="Times New Roman" w:hAnsi="Verdana" w:cs="Times New Roman"/>
          <w:b/>
          <w:i/>
          <w:iCs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2014.</w:t>
      </w:r>
    </w:p>
    <w:p w14:paraId="000CCDD7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9.</w:t>
      </w:r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B-Hücreli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NonHodgkin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Lenfoma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>Patogenezinde</w:t>
      </w:r>
      <w:proofErr w:type="spellEnd"/>
      <w:r w:rsidRPr="004A2F09">
        <w:rPr>
          <w:rFonts w:ascii="Verdana" w:eastAsia="Times New Roman" w:hAnsi="Verdana" w:cs="Times New Roman"/>
          <w:bCs/>
          <w:i/>
          <w:sz w:val="20"/>
          <w:szCs w:val="20"/>
        </w:rPr>
        <w:t xml:space="preserve"> MYD88 L265P Mutasyonunun Rolü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PAÜ BAP Hızlı Destek, 2014HZL009, </w:t>
      </w:r>
      <w:r w:rsidRPr="004A2F09">
        <w:rPr>
          <w:rFonts w:ascii="Verdana" w:eastAsia="Times New Roman" w:hAnsi="Verdana" w:cs="Times New Roman"/>
          <w:b/>
          <w:bCs/>
          <w:i/>
          <w:sz w:val="20"/>
          <w:szCs w:val="20"/>
        </w:rPr>
        <w:t>Yardımcı Araştırmacı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>, 2014</w:t>
      </w:r>
    </w:p>
    <w:p w14:paraId="000CCEA4" w14:textId="707D49D7" w:rsidR="004A2F09" w:rsidRPr="004A2F09" w:rsidRDefault="00017CCB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C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. ÖDÜLLER </w:t>
      </w:r>
    </w:p>
    <w:p w14:paraId="000CCEA5" w14:textId="7DF43EF6" w:rsidR="004A2F09" w:rsidRPr="004A2F09" w:rsidRDefault="00017CCB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>.1. Uluslararası Ödüller</w:t>
      </w:r>
    </w:p>
    <w:p w14:paraId="000CCEA6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ind w:left="708" w:hanging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2015- En iyi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abstract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ödülü</w:t>
      </w:r>
    </w:p>
    <w:p w14:paraId="000CCEA7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ind w:left="708" w:hanging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Cs/>
          <w:sz w:val="20"/>
          <w:szCs w:val="20"/>
        </w:rPr>
        <w:tab/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ab/>
        <w:t xml:space="preserve">Caner V, </w:t>
      </w: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 xml:space="preserve">Sen </w:t>
      </w:r>
      <w:proofErr w:type="spellStart"/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Turk</w:t>
      </w:r>
      <w:proofErr w:type="spellEnd"/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 xml:space="preserve"> N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Baris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IC,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Cetin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GO, Tepeli E,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Hacioglu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S, </w:t>
      </w:r>
      <w:proofErr w:type="gramStart"/>
      <w:r w:rsidRPr="004A2F09">
        <w:rPr>
          <w:rFonts w:ascii="Verdana" w:eastAsia="Times New Roman" w:hAnsi="Verdana" w:cs="Times New Roman"/>
          <w:bCs/>
          <w:sz w:val="20"/>
          <w:szCs w:val="20"/>
        </w:rPr>
        <w:t>Sari</w:t>
      </w:r>
      <w:proofErr w:type="gram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I,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Zencir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S,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Dogu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MH,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Bagci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G, Keskin A. MYD88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expression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and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L265P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mutation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in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mature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B-Cell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Non-Hodgkin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Lymphomas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. 5th International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Congress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on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Leukemia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Lymphoma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Myeloma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Pp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: 69, 21-23 May 2015,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Istanbul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Turkey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14:paraId="000CCEA8" w14:textId="0B03974F" w:rsidR="004A2F09" w:rsidRPr="004A2F09" w:rsidRDefault="00017CCB" w:rsidP="004A2F09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sz w:val="24"/>
          <w:szCs w:val="24"/>
        </w:rPr>
        <w:t>2</w:t>
      </w:r>
      <w:r w:rsidR="004A2F09" w:rsidRPr="004A2F09">
        <w:rPr>
          <w:rFonts w:ascii="Verdana" w:eastAsia="Times New Roman" w:hAnsi="Verdana" w:cs="Times New Roman"/>
          <w:b/>
          <w:sz w:val="24"/>
          <w:szCs w:val="24"/>
        </w:rPr>
        <w:t>. Ulusal Ödüller</w:t>
      </w:r>
    </w:p>
    <w:p w14:paraId="000CCEA9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1.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Kocamaz H, Özdemir ÖMA, </w:t>
      </w:r>
      <w:r w:rsidRPr="004A2F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Şen Türk N</w:t>
      </w:r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>, Enli Y, Şahin B, Ergin H.</w:t>
      </w:r>
      <w:r w:rsidRPr="004A2F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>Yenidoğan</w:t>
      </w:r>
      <w:proofErr w:type="spellEnd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>ratlarda</w:t>
      </w:r>
      <w:proofErr w:type="spellEnd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>hipoksi-reoksijenizasyon</w:t>
      </w:r>
      <w:proofErr w:type="spellEnd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ile oluşturulan </w:t>
      </w:r>
      <w:proofErr w:type="spellStart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>intestinal</w:t>
      </w:r>
      <w:proofErr w:type="spellEnd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hasarda </w:t>
      </w:r>
      <w:proofErr w:type="spellStart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>adalimumabin</w:t>
      </w:r>
      <w:proofErr w:type="spellEnd"/>
      <w:r w:rsidRPr="004A2F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doza bağlı etkileri. 12. Ulusal Çocuk Gastroenteroloji, Hepatoloji ve Beslenme Kongresi, Çeşme, İzmir. 18-21 Nisan 2018.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(En iyi sözel bildiri ikincilik ödülü).</w:t>
      </w:r>
    </w:p>
    <w:p w14:paraId="000CCEAA" w14:textId="77777777" w:rsidR="004A2F09" w:rsidRPr="004A2F09" w:rsidRDefault="004A2F09" w:rsidP="004A2F09">
      <w:pPr>
        <w:tabs>
          <w:tab w:val="num" w:pos="360"/>
        </w:tabs>
        <w:spacing w:before="100" w:beforeAutospacing="1" w:after="200" w:line="240" w:lineRule="auto"/>
        <w:jc w:val="both"/>
        <w:rPr>
          <w:rFonts w:ascii="Calibri" w:eastAsia="Calibri" w:hAnsi="Calibri" w:cs="Times New Roman"/>
        </w:rPr>
      </w:pP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2.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Düzcan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F., S. Şen, K. Yörükoğlu, </w:t>
      </w:r>
      <w:r w:rsidRPr="004A2F09">
        <w:rPr>
          <w:rFonts w:ascii="Verdana" w:eastAsia="Times New Roman" w:hAnsi="Verdana" w:cs="Times New Roman"/>
          <w:sz w:val="20"/>
          <w:szCs w:val="20"/>
        </w:rPr>
        <w:t>V. Caner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r w:rsidRPr="004A2F09">
        <w:rPr>
          <w:rFonts w:ascii="Verdana" w:eastAsia="Times New Roman" w:hAnsi="Verdana" w:cs="Times New Roman"/>
          <w:b/>
          <w:bCs/>
          <w:sz w:val="20"/>
          <w:szCs w:val="20"/>
        </w:rPr>
        <w:t>N. Şen Türk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O. Çetin, C.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Kelten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B. Tuna, B. Sarsık, E. Tepeli ve E.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Düzcan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proofErr w:type="gramStart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“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Papiller</w:t>
      </w:r>
      <w:proofErr w:type="spellEnd"/>
      <w:proofErr w:type="gram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renal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hücreli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karsinomlarda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topoizomeraz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II</w:t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sym w:font="Symbol" w:char="F061"/>
      </w:r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amplifikasyon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ve ekspresyonunun değerlendirilmesi ve HER2/</w:t>
      </w:r>
      <w:proofErr w:type="spellStart"/>
      <w:r w:rsidRPr="004A2F09">
        <w:rPr>
          <w:rFonts w:ascii="Verdana" w:eastAsia="Times New Roman" w:hAnsi="Verdana" w:cs="Times New Roman"/>
          <w:bCs/>
          <w:sz w:val="20"/>
          <w:szCs w:val="20"/>
        </w:rPr>
        <w:t>neu</w:t>
      </w:r>
      <w:proofErr w:type="spellEnd"/>
      <w:r w:rsidRPr="004A2F09">
        <w:rPr>
          <w:rFonts w:ascii="Verdana" w:eastAsia="Times New Roman" w:hAnsi="Verdana" w:cs="Times New Roman"/>
          <w:bCs/>
          <w:sz w:val="20"/>
          <w:szCs w:val="20"/>
        </w:rPr>
        <w:t xml:space="preserve"> ekspresyonu ile korelasyonunun araştırılması”, “19. Ulusal Patoloji Kongresi”, Girne, Kıbrıs, 7-11 Ekim 2009 (En iyi sözel bildiri ikincilik ödülü).</w:t>
      </w:r>
    </w:p>
    <w:p w14:paraId="000CCEAB" w14:textId="77777777" w:rsidR="009E2E74" w:rsidRDefault="009E2E74"/>
    <w:sectPr w:rsidR="009E2E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4C12" w14:textId="77777777" w:rsidR="004E1D43" w:rsidRDefault="004E1D43">
      <w:pPr>
        <w:spacing w:after="0" w:line="240" w:lineRule="auto"/>
      </w:pPr>
      <w:r>
        <w:separator/>
      </w:r>
    </w:p>
  </w:endnote>
  <w:endnote w:type="continuationSeparator" w:id="0">
    <w:p w14:paraId="5686A9E5" w14:textId="77777777" w:rsidR="004E1D43" w:rsidRDefault="004E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dRomanCondensed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dvTimes-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Sto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Stone-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CEAE" w14:textId="77777777" w:rsidR="001D512B" w:rsidRDefault="004E1D43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CEAF" w14:textId="77777777" w:rsidR="001D512B" w:rsidRDefault="004E1D43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CEB1" w14:textId="77777777" w:rsidR="001D512B" w:rsidRDefault="004E1D43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E775" w14:textId="77777777" w:rsidR="004E1D43" w:rsidRDefault="004E1D43">
      <w:pPr>
        <w:spacing w:after="0" w:line="240" w:lineRule="auto"/>
      </w:pPr>
      <w:r>
        <w:separator/>
      </w:r>
    </w:p>
  </w:footnote>
  <w:footnote w:type="continuationSeparator" w:id="0">
    <w:p w14:paraId="34BB4648" w14:textId="77777777" w:rsidR="004E1D43" w:rsidRDefault="004E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CEAC" w14:textId="77777777" w:rsidR="001D512B" w:rsidRDefault="004E1D43">
    <w:pPr>
      <w:pStyle w:val="stbilgi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CEAD" w14:textId="77777777" w:rsidR="001D512B" w:rsidRDefault="004E1D43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CEB0" w14:textId="77777777" w:rsidR="001D512B" w:rsidRDefault="004E1D43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55A8"/>
    <w:multiLevelType w:val="hybridMultilevel"/>
    <w:tmpl w:val="5C4095E0"/>
    <w:lvl w:ilvl="0" w:tplc="6AB06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C7A73"/>
    <w:multiLevelType w:val="hybridMultilevel"/>
    <w:tmpl w:val="271A8768"/>
    <w:lvl w:ilvl="0" w:tplc="41606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A17B1"/>
    <w:multiLevelType w:val="hybridMultilevel"/>
    <w:tmpl w:val="03064BF2"/>
    <w:lvl w:ilvl="0" w:tplc="408CC4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A365D4"/>
    <w:multiLevelType w:val="hybridMultilevel"/>
    <w:tmpl w:val="279E512C"/>
    <w:lvl w:ilvl="0" w:tplc="F5D809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919"/>
    <w:multiLevelType w:val="hybridMultilevel"/>
    <w:tmpl w:val="CF28E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111D6"/>
    <w:multiLevelType w:val="hybridMultilevel"/>
    <w:tmpl w:val="011AA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5851"/>
    <w:multiLevelType w:val="hybridMultilevel"/>
    <w:tmpl w:val="8E9C9A0A"/>
    <w:lvl w:ilvl="0" w:tplc="E95AA1E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80"/>
    <w:rsid w:val="000023B9"/>
    <w:rsid w:val="00017CCB"/>
    <w:rsid w:val="001363F3"/>
    <w:rsid w:val="002A7D34"/>
    <w:rsid w:val="002B0880"/>
    <w:rsid w:val="003C1659"/>
    <w:rsid w:val="00465E6E"/>
    <w:rsid w:val="00480D90"/>
    <w:rsid w:val="004A2F09"/>
    <w:rsid w:val="004E1D43"/>
    <w:rsid w:val="005070FE"/>
    <w:rsid w:val="00547B70"/>
    <w:rsid w:val="005955B1"/>
    <w:rsid w:val="00666BE8"/>
    <w:rsid w:val="00886D91"/>
    <w:rsid w:val="0090393E"/>
    <w:rsid w:val="00975FF6"/>
    <w:rsid w:val="009E2E74"/>
    <w:rsid w:val="00A90C98"/>
    <w:rsid w:val="00AA0ED7"/>
    <w:rsid w:val="00BD3636"/>
    <w:rsid w:val="00C37924"/>
    <w:rsid w:val="00C91822"/>
    <w:rsid w:val="00CA5A4A"/>
    <w:rsid w:val="00CC78D4"/>
    <w:rsid w:val="00CE6374"/>
    <w:rsid w:val="00D83B05"/>
    <w:rsid w:val="00EB2696"/>
    <w:rsid w:val="00EE5722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CC3A"/>
  <w15:chartTrackingRefBased/>
  <w15:docId w15:val="{177B2D42-AA99-4C88-9732-6F86CA32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A2F0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k2">
    <w:name w:val="heading 2"/>
    <w:basedOn w:val="Normal"/>
    <w:next w:val="Normal"/>
    <w:link w:val="Balk2Char"/>
    <w:qFormat/>
    <w:rsid w:val="004A2F09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4A2F09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bCs/>
      <w:i/>
      <w:iCs/>
      <w:color w:val="000080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4A2F09"/>
    <w:pPr>
      <w:keepNext/>
      <w:tabs>
        <w:tab w:val="num" w:pos="0"/>
      </w:tabs>
      <w:spacing w:before="100" w:beforeAutospacing="1" w:after="100" w:afterAutospacing="1" w:line="240" w:lineRule="auto"/>
      <w:ind w:hanging="360"/>
      <w:jc w:val="both"/>
      <w:outlineLvl w:val="3"/>
    </w:pPr>
    <w:rPr>
      <w:rFonts w:ascii="Verdana" w:eastAsia="Times New Roman" w:hAnsi="Verdana" w:cs="Times New Roman"/>
      <w:b/>
      <w:color w:val="00008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2F0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rsid w:val="004A2F0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4A2F09"/>
    <w:rPr>
      <w:rFonts w:ascii="Times New Roman" w:eastAsia="Times New Roman" w:hAnsi="Times New Roman" w:cs="Times New Roman"/>
      <w:bCs/>
      <w:i/>
      <w:iCs/>
      <w:color w:val="000080"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4A2F09"/>
    <w:rPr>
      <w:rFonts w:ascii="Verdana" w:eastAsia="Times New Roman" w:hAnsi="Verdana" w:cs="Times New Roman"/>
      <w:b/>
      <w:color w:val="000080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4A2F09"/>
  </w:style>
  <w:style w:type="paragraph" w:styleId="NormalWeb">
    <w:name w:val="Normal (Web)"/>
    <w:basedOn w:val="Normal"/>
    <w:rsid w:val="004A2F0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4A2F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4A2F0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">
    <w:name w:val="Body Text"/>
    <w:basedOn w:val="Normal"/>
    <w:link w:val="GvdeMetniChar"/>
    <w:rsid w:val="004A2F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A2F09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rsid w:val="004A2F09"/>
    <w:rPr>
      <w:color w:val="366388"/>
    </w:rPr>
  </w:style>
  <w:style w:type="paragraph" w:styleId="AklamaMetni">
    <w:name w:val="annotation text"/>
    <w:basedOn w:val="Normal"/>
    <w:link w:val="AklamaMetniChar"/>
    <w:uiPriority w:val="99"/>
    <w:unhideWhenUsed/>
    <w:rsid w:val="004A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A2F0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2F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4A2F09"/>
    <w:rPr>
      <w:rFonts w:ascii="Times New Roman" w:eastAsia="Times New Roman" w:hAnsi="Times New Roman" w:cs="Times New Roman"/>
      <w:sz w:val="24"/>
      <w:szCs w:val="24"/>
    </w:rPr>
  </w:style>
  <w:style w:type="paragraph" w:customStyle="1" w:styleId="GvdeMetniGirintisi1">
    <w:name w:val="Gövde Metni Girintisi1"/>
    <w:basedOn w:val="Normal"/>
    <w:next w:val="GvdeMetniGirintisi"/>
    <w:link w:val="GvdeMetniGirintisiChar"/>
    <w:unhideWhenUsed/>
    <w:rsid w:val="004A2F09"/>
    <w:pPr>
      <w:spacing w:after="120" w:line="276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1"/>
    <w:rsid w:val="004A2F09"/>
  </w:style>
  <w:style w:type="paragraph" w:styleId="ListeParagraf">
    <w:name w:val="List Paragraph"/>
    <w:basedOn w:val="Normal"/>
    <w:uiPriority w:val="34"/>
    <w:qFormat/>
    <w:rsid w:val="004A2F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A2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eYok11">
    <w:name w:val="Liste Yok11"/>
    <w:next w:val="ListeYok"/>
    <w:semiHidden/>
    <w:rsid w:val="004A2F09"/>
  </w:style>
  <w:style w:type="character" w:customStyle="1" w:styleId="jrnl">
    <w:name w:val="jrnl"/>
    <w:basedOn w:val="VarsaylanParagrafYazTipi"/>
    <w:rsid w:val="004A2F09"/>
  </w:style>
  <w:style w:type="character" w:styleId="Kpr">
    <w:name w:val="Hyperlink"/>
    <w:basedOn w:val="VarsaylanParagrafYazTipi"/>
    <w:rsid w:val="004A2F09"/>
    <w:rPr>
      <w:strike w:val="0"/>
      <w:dstrike w:val="0"/>
      <w:color w:val="3550CA"/>
      <w:u w:val="none"/>
      <w:effect w:val="none"/>
    </w:rPr>
  </w:style>
  <w:style w:type="character" w:customStyle="1" w:styleId="label2">
    <w:name w:val="label2"/>
    <w:basedOn w:val="VarsaylanParagrafYazTipi"/>
    <w:rsid w:val="004A2F09"/>
  </w:style>
  <w:style w:type="character" w:customStyle="1" w:styleId="hithilite3">
    <w:name w:val="hithilite3"/>
    <w:basedOn w:val="VarsaylanParagrafYazTipi"/>
    <w:rsid w:val="004A2F09"/>
    <w:rPr>
      <w:shd w:val="clear" w:color="auto" w:fill="FFFF66"/>
    </w:rPr>
  </w:style>
  <w:style w:type="character" w:customStyle="1" w:styleId="databold1">
    <w:name w:val="data_bold1"/>
    <w:basedOn w:val="VarsaylanParagrafYazTipi"/>
    <w:rsid w:val="004A2F09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4A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4A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4A2F09"/>
  </w:style>
  <w:style w:type="paragraph" w:customStyle="1" w:styleId="Altbilgi1">
    <w:name w:val="Altbilgi1"/>
    <w:basedOn w:val="Normal"/>
    <w:next w:val="AltBilgi"/>
    <w:link w:val="AltbilgiChar"/>
    <w:uiPriority w:val="99"/>
    <w:unhideWhenUsed/>
    <w:rsid w:val="004A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4A2F09"/>
  </w:style>
  <w:style w:type="paragraph" w:styleId="GvdeMetniGirintisi">
    <w:name w:val="Body Text Indent"/>
    <w:basedOn w:val="Normal"/>
    <w:link w:val="GvdeMetniGirintisiChar1"/>
    <w:uiPriority w:val="99"/>
    <w:semiHidden/>
    <w:unhideWhenUsed/>
    <w:rsid w:val="004A2F09"/>
    <w:pPr>
      <w:spacing w:after="120"/>
      <w:ind w:left="283"/>
    </w:pPr>
  </w:style>
  <w:style w:type="character" w:customStyle="1" w:styleId="GvdeMetniGirintisiChar1">
    <w:name w:val="Gövde Metni Girintisi Char1"/>
    <w:basedOn w:val="VarsaylanParagrafYazTipi"/>
    <w:link w:val="GvdeMetniGirintisi"/>
    <w:uiPriority w:val="99"/>
    <w:semiHidden/>
    <w:rsid w:val="004A2F09"/>
  </w:style>
  <w:style w:type="table" w:styleId="TabloKlavuzu">
    <w:name w:val="Table Grid"/>
    <w:basedOn w:val="NormalTablo"/>
    <w:uiPriority w:val="39"/>
    <w:rsid w:val="004A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0"/>
    <w:uiPriority w:val="99"/>
    <w:semiHidden/>
    <w:unhideWhenUsed/>
    <w:rsid w:val="004A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4A2F09"/>
  </w:style>
  <w:style w:type="paragraph" w:styleId="AltBilgi">
    <w:name w:val="footer"/>
    <w:basedOn w:val="Normal"/>
    <w:link w:val="AltBilgiChar0"/>
    <w:uiPriority w:val="99"/>
    <w:semiHidden/>
    <w:unhideWhenUsed/>
    <w:rsid w:val="004A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4A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84334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cbi.nlm.nih.gov/pubmed/26376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59061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BF21-BB38-4114-A6F0-C043523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2021-11-18T10:35:00Z</dcterms:created>
  <dcterms:modified xsi:type="dcterms:W3CDTF">2021-11-18T10:35:00Z</dcterms:modified>
</cp:coreProperties>
</file>